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C6DBA" w14:textId="48100291" w:rsidR="00337540" w:rsidRPr="00123BF2" w:rsidRDefault="00337540" w:rsidP="00B403C1">
      <w:pPr>
        <w:spacing w:after="0" w:line="240" w:lineRule="auto"/>
        <w:jc w:val="center"/>
        <w:rPr>
          <w:rFonts w:ascii="Times New Roman" w:eastAsia="Calibri" w:hAnsi="Times New Roman" w:cs="Times New Roman"/>
          <w:b/>
          <w:bCs/>
          <w:kern w:val="0"/>
          <w:sz w:val="24"/>
          <w:szCs w:val="24"/>
          <w:lang w:val="lt-LT"/>
          <w14:ligatures w14:val="none"/>
        </w:rPr>
      </w:pPr>
      <w:r w:rsidRPr="00E164A6">
        <w:rPr>
          <w:rFonts w:ascii="Times New Roman" w:eastAsia="Calibri" w:hAnsi="Times New Roman" w:cs="Times New Roman"/>
          <w:b/>
          <w:bCs/>
          <w:kern w:val="0"/>
          <w:sz w:val="24"/>
          <w:szCs w:val="24"/>
          <w:lang w:val="lt-LT"/>
          <w14:ligatures w14:val="none"/>
        </w:rPr>
        <w:t>K</w:t>
      </w:r>
      <w:r w:rsidRPr="00123BF2">
        <w:rPr>
          <w:rFonts w:ascii="Times New Roman" w:eastAsia="Calibri" w:hAnsi="Times New Roman" w:cs="Times New Roman"/>
          <w:b/>
          <w:bCs/>
          <w:kern w:val="0"/>
          <w:sz w:val="24"/>
          <w:szCs w:val="24"/>
          <w:lang w:val="lt-LT"/>
          <w14:ligatures w14:val="none"/>
        </w:rPr>
        <w:t>LAIPĖDOS PRANO MAŠIOTO PROGIMNAZIJOS</w:t>
      </w:r>
    </w:p>
    <w:p w14:paraId="325A6644" w14:textId="77777777" w:rsidR="00337540" w:rsidRPr="00123BF2" w:rsidRDefault="00337540" w:rsidP="00337540">
      <w:pPr>
        <w:spacing w:after="0" w:line="240" w:lineRule="auto"/>
        <w:jc w:val="center"/>
        <w:rPr>
          <w:rFonts w:ascii="Times New Roman" w:eastAsia="Calibri" w:hAnsi="Times New Roman" w:cs="Times New Roman"/>
          <w:b/>
          <w:kern w:val="0"/>
          <w:sz w:val="24"/>
          <w:szCs w:val="24"/>
          <w:lang w:val="lt-LT"/>
          <w14:ligatures w14:val="none"/>
        </w:rPr>
      </w:pPr>
      <w:r w:rsidRPr="00123BF2">
        <w:rPr>
          <w:rFonts w:ascii="Times New Roman" w:eastAsia="Calibri" w:hAnsi="Times New Roman" w:cs="Times New Roman"/>
          <w:b/>
          <w:kern w:val="0"/>
          <w:sz w:val="24"/>
          <w:szCs w:val="24"/>
          <w:lang w:val="lt-LT"/>
          <w14:ligatures w14:val="none"/>
        </w:rPr>
        <w:t>2023 METŲ VEIKLOS ATASKAITA</w:t>
      </w:r>
    </w:p>
    <w:p w14:paraId="5112158B" w14:textId="77777777" w:rsidR="00337540" w:rsidRPr="00123BF2" w:rsidRDefault="00337540" w:rsidP="00337540">
      <w:pPr>
        <w:spacing w:after="0" w:line="240" w:lineRule="auto"/>
        <w:jc w:val="center"/>
        <w:rPr>
          <w:rFonts w:ascii="Times New Roman" w:eastAsia="Calibri" w:hAnsi="Times New Roman" w:cs="Times New Roman"/>
          <w:kern w:val="0"/>
          <w:sz w:val="24"/>
          <w:szCs w:val="24"/>
          <w:lang w:val="lt-LT"/>
          <w14:ligatures w14:val="none"/>
        </w:rPr>
      </w:pPr>
    </w:p>
    <w:p w14:paraId="3DD16357" w14:textId="77777777" w:rsidR="00337540" w:rsidRPr="00123BF2" w:rsidRDefault="00337540" w:rsidP="00337540">
      <w:pPr>
        <w:spacing w:after="0" w:line="240" w:lineRule="auto"/>
        <w:jc w:val="center"/>
        <w:rPr>
          <w:rFonts w:ascii="Times New Roman" w:eastAsia="Calibri" w:hAnsi="Times New Roman" w:cs="Times New Roman"/>
          <w:kern w:val="0"/>
          <w:sz w:val="24"/>
          <w:szCs w:val="24"/>
          <w:lang w:val="lt-LT"/>
          <w14:ligatures w14:val="none"/>
        </w:rPr>
      </w:pPr>
      <w:r w:rsidRPr="00123BF2">
        <w:rPr>
          <w:rFonts w:ascii="Times New Roman" w:eastAsia="Calibri" w:hAnsi="Times New Roman" w:cs="Times New Roman"/>
          <w:kern w:val="0"/>
          <w:sz w:val="24"/>
          <w:szCs w:val="24"/>
          <w:lang w:val="lt-LT"/>
          <w14:ligatures w14:val="none"/>
        </w:rPr>
        <w:t>Nr</w:t>
      </w:r>
      <w:r>
        <w:rPr>
          <w:rFonts w:ascii="Times New Roman" w:eastAsia="Calibri" w:hAnsi="Times New Roman" w:cs="Times New Roman"/>
          <w:kern w:val="0"/>
          <w:sz w:val="24"/>
          <w:szCs w:val="24"/>
          <w:lang w:val="lt-LT"/>
          <w14:ligatures w14:val="none"/>
        </w:rPr>
        <w:t>.</w:t>
      </w:r>
    </w:p>
    <w:p w14:paraId="24DCE563" w14:textId="77777777" w:rsidR="00337540" w:rsidRPr="00123BF2" w:rsidRDefault="00337540" w:rsidP="00337540">
      <w:pPr>
        <w:spacing w:after="0" w:line="240" w:lineRule="auto"/>
        <w:jc w:val="center"/>
        <w:rPr>
          <w:rFonts w:ascii="Times New Roman" w:eastAsia="Calibri" w:hAnsi="Times New Roman" w:cs="Times New Roman"/>
          <w:kern w:val="0"/>
          <w:sz w:val="24"/>
          <w:szCs w:val="24"/>
          <w:lang w:val="lt-LT"/>
          <w14:ligatures w14:val="none"/>
        </w:rPr>
      </w:pPr>
      <w:r w:rsidRPr="00123BF2">
        <w:rPr>
          <w:rFonts w:ascii="Times New Roman" w:eastAsia="Calibri" w:hAnsi="Times New Roman" w:cs="Times New Roman"/>
          <w:kern w:val="0"/>
          <w:sz w:val="24"/>
          <w:szCs w:val="24"/>
          <w:lang w:val="lt-LT"/>
          <w14:ligatures w14:val="none"/>
        </w:rPr>
        <w:t>Klaipėda</w:t>
      </w:r>
    </w:p>
    <w:p w14:paraId="4958C634" w14:textId="77777777" w:rsidR="00337540" w:rsidRPr="00123BF2" w:rsidRDefault="00337540" w:rsidP="00337540">
      <w:pPr>
        <w:spacing w:after="0" w:line="240" w:lineRule="auto"/>
        <w:jc w:val="center"/>
        <w:rPr>
          <w:rFonts w:ascii="Times New Roman" w:eastAsia="Calibri" w:hAnsi="Times New Roman" w:cs="Times New Roman"/>
          <w:kern w:val="0"/>
          <w:sz w:val="24"/>
          <w:szCs w:val="24"/>
          <w:lang w:val="lt-LT"/>
          <w14:ligatures w14:val="none"/>
        </w:rPr>
      </w:pPr>
    </w:p>
    <w:p w14:paraId="6DB89E6A" w14:textId="77777777" w:rsidR="00337540" w:rsidRPr="00123BF2" w:rsidRDefault="00337540" w:rsidP="00337540">
      <w:pPr>
        <w:spacing w:after="0" w:line="240" w:lineRule="auto"/>
        <w:jc w:val="center"/>
        <w:rPr>
          <w:rFonts w:ascii="Times New Roman" w:eastAsia="Calibri" w:hAnsi="Times New Roman" w:cs="Times New Roman"/>
          <w:b/>
          <w:kern w:val="0"/>
          <w:sz w:val="24"/>
          <w:szCs w:val="24"/>
          <w:lang w:val="lt-LT"/>
          <w14:ligatures w14:val="none"/>
        </w:rPr>
      </w:pPr>
      <w:r w:rsidRPr="00123BF2">
        <w:rPr>
          <w:rFonts w:ascii="Times New Roman" w:eastAsia="Calibri" w:hAnsi="Times New Roman" w:cs="Times New Roman"/>
          <w:b/>
          <w:kern w:val="0"/>
          <w:sz w:val="24"/>
          <w:szCs w:val="24"/>
          <w:lang w:val="lt-LT"/>
          <w14:ligatures w14:val="none"/>
        </w:rPr>
        <w:t>I SKYRIUS</w:t>
      </w:r>
    </w:p>
    <w:p w14:paraId="5EA24D6E" w14:textId="77777777" w:rsidR="00337540" w:rsidRPr="00123BF2" w:rsidRDefault="00337540" w:rsidP="00337540">
      <w:pPr>
        <w:spacing w:after="0" w:line="240" w:lineRule="auto"/>
        <w:jc w:val="center"/>
        <w:rPr>
          <w:rFonts w:ascii="Times New Roman" w:eastAsia="Calibri" w:hAnsi="Times New Roman" w:cs="Times New Roman"/>
          <w:b/>
          <w:kern w:val="0"/>
          <w:sz w:val="24"/>
          <w:szCs w:val="24"/>
          <w:lang w:val="lt-LT"/>
          <w14:ligatures w14:val="none"/>
        </w:rPr>
      </w:pPr>
      <w:r w:rsidRPr="00123BF2">
        <w:rPr>
          <w:rFonts w:ascii="Times New Roman" w:eastAsia="Calibri" w:hAnsi="Times New Roman" w:cs="Times New Roman"/>
          <w:b/>
          <w:kern w:val="0"/>
          <w:sz w:val="24"/>
          <w:szCs w:val="24"/>
          <w:lang w:val="lt-LT"/>
          <w14:ligatures w14:val="none"/>
        </w:rPr>
        <w:t>STRATEGINIO PLANO IR METINIO VEIKLOS PLANO ĮGYVENDINIMAS</w:t>
      </w:r>
    </w:p>
    <w:p w14:paraId="138157CB" w14:textId="77777777" w:rsidR="00337540" w:rsidRPr="00123BF2" w:rsidRDefault="00337540" w:rsidP="00337540">
      <w:pPr>
        <w:spacing w:after="0" w:line="240" w:lineRule="auto"/>
        <w:jc w:val="both"/>
        <w:rPr>
          <w:rFonts w:ascii="Times New Roman" w:eastAsia="Aptos" w:hAnsi="Times New Roman" w:cs="Times New Roman"/>
          <w:b/>
          <w:bCs/>
          <w:spacing w:val="-1"/>
          <w:kern w:val="0"/>
          <w:sz w:val="24"/>
          <w:szCs w:val="24"/>
          <w:lang w:val="it-IT"/>
          <w14:ligatures w14:val="none"/>
        </w:rPr>
      </w:pPr>
    </w:p>
    <w:tbl>
      <w:tblPr>
        <w:tblStyle w:val="TableGrid"/>
        <w:tblW w:w="9780" w:type="dxa"/>
        <w:tblInd w:w="-147" w:type="dxa"/>
        <w:tblLayout w:type="fixed"/>
        <w:tblLook w:val="04A0" w:firstRow="1" w:lastRow="0" w:firstColumn="1" w:lastColumn="0" w:noHBand="0" w:noVBand="1"/>
      </w:tblPr>
      <w:tblGrid>
        <w:gridCol w:w="9780"/>
      </w:tblGrid>
      <w:tr w:rsidR="00337540" w:rsidRPr="00B403C1" w14:paraId="7FD379DA" w14:textId="77777777" w:rsidTr="00EA08B9">
        <w:tc>
          <w:tcPr>
            <w:tcW w:w="9780" w:type="dxa"/>
            <w:tcBorders>
              <w:top w:val="single" w:sz="4" w:space="0" w:color="auto"/>
              <w:left w:val="single" w:sz="4" w:space="0" w:color="auto"/>
              <w:bottom w:val="single" w:sz="4" w:space="0" w:color="auto"/>
              <w:right w:val="single" w:sz="4" w:space="0" w:color="auto"/>
            </w:tcBorders>
          </w:tcPr>
          <w:p w14:paraId="6411D0A0" w14:textId="77777777" w:rsidR="00337540" w:rsidRPr="00337540" w:rsidRDefault="00337540" w:rsidP="00EA08B9">
            <w:pPr>
              <w:jc w:val="both"/>
              <w:rPr>
                <w:rFonts w:ascii="Times New Roman" w:eastAsia="Aptos" w:hAnsi="Times New Roman"/>
                <w:color w:val="000000" w:themeColor="text1"/>
                <w:sz w:val="24"/>
                <w:szCs w:val="24"/>
                <w:lang w:val="it-IT"/>
              </w:rPr>
            </w:pPr>
            <w:r w:rsidRPr="00337540">
              <w:rPr>
                <w:rFonts w:ascii="Times New Roman" w:eastAsia="Aptos" w:hAnsi="Times New Roman"/>
                <w:color w:val="000000" w:themeColor="text1"/>
                <w:sz w:val="24"/>
                <w:szCs w:val="24"/>
                <w:lang w:val="it-IT"/>
              </w:rPr>
              <w:t xml:space="preserve">Klaipėdos Prano Mašioto progimnazijos (toliau – Progimnazija) 2023–2025 m. strateginio (toliau – Strateginis planas) ir 2023 m. veiklos planuose (toliau – Veiklos planas) buvo siekiama įgyvendinti strateginį tikslą – tobulinti ugdymo kokybę kuriant lanksčią partnerystės mokymo(si) kultūrą, orientuotą į kiekvieno mokinio asmeninę ūgtį. Šį tikslą įgyvendinant buvo pasirinktos prioritetinės veiklos kryptys: gerinti mokinių pasiekimus, taikant mokinio pažangos matavimo sistemą, sudaryti tinkamas sąlygas ugdytis kiekvienam vaikui, suteikiant veiksmingą švietimo pagalbą. </w:t>
            </w:r>
          </w:p>
          <w:p w14:paraId="1A7D67B7" w14:textId="77777777" w:rsidR="00337540" w:rsidRPr="00337540" w:rsidRDefault="00337540" w:rsidP="00EA08B9">
            <w:pPr>
              <w:jc w:val="both"/>
              <w:rPr>
                <w:rFonts w:ascii="Times New Roman" w:eastAsia="Aptos" w:hAnsi="Times New Roman"/>
                <w:color w:val="000000" w:themeColor="text1"/>
                <w:sz w:val="24"/>
                <w:szCs w:val="24"/>
                <w:lang w:val="it-IT"/>
              </w:rPr>
            </w:pPr>
            <w:r w:rsidRPr="00337540">
              <w:rPr>
                <w:rFonts w:ascii="Times New Roman" w:eastAsia="Aptos" w:hAnsi="Times New Roman"/>
                <w:color w:val="000000" w:themeColor="text1"/>
                <w:sz w:val="24"/>
                <w:szCs w:val="24"/>
                <w:lang w:val="it-IT"/>
              </w:rPr>
              <w:t>2023 m. vadybiniai tikslai buvo orientuoti į kokybišką Progimnazijos veiklos užtikrinimą, naujų mokytojų pritraukimą, prevencinės veiklos stiprinimą, atnaujintų ugdymo programų diegimą bei įtraukiojo ugdymo organizavimą.</w:t>
            </w:r>
          </w:p>
          <w:p w14:paraId="580085EF" w14:textId="77777777" w:rsidR="00337540" w:rsidRPr="00337540" w:rsidRDefault="00337540" w:rsidP="00EA08B9">
            <w:pPr>
              <w:jc w:val="both"/>
              <w:rPr>
                <w:rFonts w:ascii="Times New Roman" w:eastAsia="Aptos" w:hAnsi="Times New Roman"/>
                <w:color w:val="000000" w:themeColor="text1"/>
                <w:sz w:val="24"/>
                <w:szCs w:val="24"/>
                <w:lang w:val="it-IT"/>
              </w:rPr>
            </w:pPr>
            <w:r w:rsidRPr="00337540">
              <w:rPr>
                <w:rFonts w:ascii="Times New Roman" w:eastAsia="Aptos" w:hAnsi="Times New Roman"/>
                <w:color w:val="000000" w:themeColor="text1"/>
                <w:sz w:val="24"/>
                <w:szCs w:val="24"/>
                <w:lang w:val="it-IT"/>
              </w:rPr>
              <w:t xml:space="preserve">Progimnazija 2023 m. įgyvendino pradinio, pagrindinio ugdymo (I dalis), neformaliojo švietimo programas bei Katalikiškojo ugdymo sistemos sampratos elementus. </w:t>
            </w:r>
            <w:r w:rsidRPr="00337540">
              <w:rPr>
                <w:rFonts w:ascii="Times New Roman" w:eastAsia="Aptos" w:hAnsi="Times New Roman"/>
                <w:color w:val="000000" w:themeColor="text1"/>
                <w:sz w:val="24"/>
                <w:szCs w:val="24"/>
                <w:shd w:val="clear" w:color="auto" w:fill="FFFFFF"/>
                <w:lang w:val="it-IT"/>
              </w:rPr>
              <w:t xml:space="preserve">Dirbo 52 pedagoginiai (55,12 etato), 28 nepedagoginiai (25,75 etato) darbuotojai. </w:t>
            </w:r>
            <w:r w:rsidRPr="00337540">
              <w:rPr>
                <w:rFonts w:ascii="Times New Roman" w:eastAsia="Aptos" w:hAnsi="Times New Roman"/>
                <w:color w:val="000000" w:themeColor="text1"/>
                <w:sz w:val="24"/>
                <w:szCs w:val="24"/>
                <w:lang w:val="it-IT"/>
              </w:rPr>
              <w:t>2023 m. rugsėjo 1 d. duomenimis mokėsi 608 mokiniai, suformuoti 25 klasių komplektai. Strateginiame ir Veiklos planuose buvo iškelti konkretūs veiklos tikslai ir uždaviniai, numatytos priemonės laukiamam rezultatui pasiekti:</w:t>
            </w:r>
          </w:p>
          <w:p w14:paraId="271F1358" w14:textId="77777777" w:rsidR="00337540" w:rsidRPr="00337540" w:rsidRDefault="00337540" w:rsidP="00EA08B9">
            <w:pPr>
              <w:jc w:val="both"/>
              <w:rPr>
                <w:rFonts w:ascii="Times New Roman" w:eastAsia="Aptos" w:hAnsi="Times New Roman"/>
                <w:color w:val="000000" w:themeColor="text1"/>
                <w:sz w:val="24"/>
                <w:szCs w:val="24"/>
                <w:lang w:val="it-IT"/>
              </w:rPr>
            </w:pPr>
            <w:r w:rsidRPr="00337540">
              <w:rPr>
                <w:rFonts w:ascii="Times New Roman" w:eastAsia="Aptos" w:hAnsi="Times New Roman"/>
                <w:color w:val="000000" w:themeColor="text1"/>
                <w:sz w:val="24"/>
                <w:szCs w:val="24"/>
                <w:lang w:val="it-IT"/>
              </w:rPr>
              <w:t>– vienas iš pagrindinių Veiklos plano uždavinių buvo gerinti mokinių mokymosi rezultatus ir asmeninę pažangą, naudojant inovatyvius mokymo būdus, skatinančius mokinių motyvaciją.  Ugdydami mokinių kompetencijas, Progimnazijos pedagogai organizavo įvairias veiklas: pravedė 102 pamokas (2022 m. – 68) netradicinėje ugdymo aplinkoje, organizavo 196 išvykas ir ekskursijas (2022 m. – 149), plėtojo projektinę ir patyriminę veiklą. Dalyvauta 30 tarptautiniuose (2022 m. –  8), 29 šalies (2022 m. – 27), 18 miesto (2022 m. – 31) ir 107 mokyklos projektuose (2022 m. – 47), 75 „Kultūros paso“ edukaciniuose renginiuose (2022 m. – 73), organizuotos 86 patyriminės STEAM veiklos (2022 m. – 73), taikytas skaitmeninis ugdymo turinys bei šiuolaikinės technologijos pamokose.</w:t>
            </w:r>
          </w:p>
          <w:p w14:paraId="6E35D18F" w14:textId="77777777" w:rsidR="00337540" w:rsidRPr="00337540" w:rsidRDefault="00337540" w:rsidP="00EA08B9">
            <w:pPr>
              <w:jc w:val="both"/>
              <w:rPr>
                <w:rFonts w:ascii="Times New Roman" w:eastAsia="Aptos" w:hAnsi="Times New Roman"/>
                <w:color w:val="000000" w:themeColor="text1"/>
                <w:sz w:val="24"/>
                <w:szCs w:val="24"/>
                <w:lang w:val="it-IT"/>
              </w:rPr>
            </w:pPr>
            <w:r w:rsidRPr="00337540">
              <w:rPr>
                <w:rFonts w:ascii="Times New Roman" w:eastAsia="Aptos" w:hAnsi="Times New Roman"/>
                <w:color w:val="000000" w:themeColor="text1"/>
                <w:sz w:val="24"/>
                <w:szCs w:val="24"/>
                <w:lang w:val="it-IT"/>
              </w:rPr>
              <w:t xml:space="preserve">Įdiegta nauja elektroninė mokinių pažangos stebėjimo platforma „Mokinių pažanga“ padėjo efektyviai fiksuoti ir analizuoti individualią mokinių pažangą. Siekiant laiku pastebėti mokinių mokymosi spragas, kartą per 2 mėnesius buvo organizuoti administracijos ir pedagogų pasitarimai, kuriuose nagrinėti mokinių pasiekimai ir pažanga, sudaromas pagalbos mokiniui veiksmų planas, rezultatai aptarti administracijos, mokytojų tarybos, metodinės tarybos posėdžiuose, individualiai su mokytojais. </w:t>
            </w:r>
          </w:p>
          <w:p w14:paraId="21B55CCD" w14:textId="77777777" w:rsidR="00337540" w:rsidRPr="00337540" w:rsidRDefault="00337540" w:rsidP="00EA08B9">
            <w:pPr>
              <w:jc w:val="both"/>
              <w:rPr>
                <w:rFonts w:ascii="Times New Roman" w:eastAsia="Aptos" w:hAnsi="Times New Roman"/>
                <w:color w:val="000000" w:themeColor="text1"/>
                <w:sz w:val="24"/>
                <w:szCs w:val="24"/>
                <w:lang w:val="it-IT"/>
              </w:rPr>
            </w:pPr>
            <w:r w:rsidRPr="00337540">
              <w:rPr>
                <w:rFonts w:ascii="Times New Roman" w:eastAsia="Aptos" w:hAnsi="Times New Roman"/>
                <w:color w:val="000000" w:themeColor="text1"/>
                <w:sz w:val="24"/>
                <w:szCs w:val="24"/>
                <w:lang w:val="it-IT"/>
              </w:rPr>
              <w:t xml:space="preserve">Pagerėjo metiniai mokinių ugdymo(si) pasiekimai: labai gerai mokėsi 15,5 % (2022 m. – 14,1 %), gerai – 50,6 % (2022 m. – 50,4 %), patenkinamai – 33,9 % (2022 m. – 35,5 %) mokinių. Bendras </w:t>
            </w:r>
          </w:p>
          <w:p w14:paraId="45B5F612" w14:textId="77777777" w:rsidR="00337540" w:rsidRPr="00337540" w:rsidRDefault="00337540" w:rsidP="00EA08B9">
            <w:pPr>
              <w:jc w:val="both"/>
              <w:rPr>
                <w:rFonts w:ascii="Times New Roman" w:eastAsia="Aptos" w:hAnsi="Times New Roman"/>
                <w:b/>
                <w:bCs/>
                <w:color w:val="000000" w:themeColor="text1"/>
                <w:sz w:val="24"/>
                <w:szCs w:val="24"/>
                <w:lang w:val="it-IT"/>
              </w:rPr>
            </w:pPr>
            <w:r w:rsidRPr="00337540">
              <w:rPr>
                <w:rFonts w:ascii="Times New Roman" w:eastAsia="Aptos" w:hAnsi="Times New Roman"/>
                <w:color w:val="000000" w:themeColor="text1"/>
                <w:sz w:val="24"/>
                <w:szCs w:val="24"/>
                <w:lang w:val="it-IT"/>
              </w:rPr>
              <w:t>1-8 kl. mokinių pažangumas – 100%. Įvedus naują lankomumo tvarką, sumažėjo praleistų pamokų skaičius, t. y., vienas mokinys vidutiniškai praleido 61,2 pamokas (2022 m. – 70), iš jų 83 %</w:t>
            </w:r>
            <w:r w:rsidRPr="00337540">
              <w:rPr>
                <w:rFonts w:ascii="Times New Roman" w:eastAsia="Aptos" w:hAnsi="Times New Roman"/>
                <w:b/>
                <w:bCs/>
                <w:color w:val="000000" w:themeColor="text1"/>
                <w:sz w:val="24"/>
                <w:szCs w:val="24"/>
                <w:lang w:val="it-IT"/>
              </w:rPr>
              <w:t xml:space="preserve"> </w:t>
            </w:r>
            <w:r w:rsidRPr="00337540">
              <w:rPr>
                <w:rFonts w:ascii="Times New Roman" w:eastAsia="Aptos" w:hAnsi="Times New Roman"/>
                <w:color w:val="000000" w:themeColor="text1"/>
                <w:sz w:val="24"/>
                <w:szCs w:val="24"/>
                <w:lang w:val="it-IT"/>
              </w:rPr>
              <w:t>pamokų praleista dėl ligos.</w:t>
            </w:r>
            <w:r w:rsidRPr="00337540">
              <w:rPr>
                <w:rFonts w:ascii="Times New Roman" w:eastAsia="Aptos" w:hAnsi="Times New Roman"/>
                <w:b/>
                <w:bCs/>
                <w:color w:val="000000" w:themeColor="text1"/>
                <w:sz w:val="24"/>
                <w:szCs w:val="24"/>
                <w:lang w:val="it-IT"/>
              </w:rPr>
              <w:t xml:space="preserve"> </w:t>
            </w:r>
            <w:r w:rsidRPr="00337540">
              <w:rPr>
                <w:rFonts w:ascii="Times New Roman" w:eastAsia="Aptos" w:hAnsi="Times New Roman"/>
                <w:color w:val="000000" w:themeColor="text1"/>
                <w:sz w:val="24"/>
                <w:szCs w:val="24"/>
                <w:lang w:val="it-IT"/>
              </w:rPr>
              <w:t xml:space="preserve">Pagerėjo mokinių pasiekimai olimpiadose, konkursuose: </w:t>
            </w:r>
            <w:r w:rsidRPr="00337540">
              <w:rPr>
                <w:rFonts w:ascii="Times New Roman" w:eastAsia="Aptos" w:hAnsi="Times New Roman"/>
                <w:color w:val="000000" w:themeColor="text1"/>
                <w:sz w:val="24"/>
                <w:szCs w:val="24"/>
                <w:shd w:val="clear" w:color="auto" w:fill="FFFFFF"/>
                <w:lang w:val="it-IT"/>
              </w:rPr>
              <w:t>72,7 % Progimnazijos ugdytiniai, dalyvavę miesto, respublikiniuose ir tarptautiniuose konkursuose bei olimpiadose, laimėjo 48 prizines vietas (2022 m. – 44). </w:t>
            </w:r>
            <w:r w:rsidRPr="00337540">
              <w:rPr>
                <w:rFonts w:ascii="Times New Roman" w:eastAsia="Aptos" w:hAnsi="Times New Roman"/>
                <w:color w:val="000000" w:themeColor="text1"/>
                <w:sz w:val="24"/>
                <w:szCs w:val="24"/>
                <w:lang w:val="it-IT"/>
              </w:rPr>
              <w:t xml:space="preserve">Išsamesnė informacija apie mokinių laimėjimus skelbiama Progimnazijos e. svetainėje </w:t>
            </w:r>
            <w:hyperlink r:id="rId4" w:history="1">
              <w:r w:rsidRPr="00337540">
                <w:rPr>
                  <w:rFonts w:ascii="Times New Roman" w:eastAsia="Aptos" w:hAnsi="Times New Roman"/>
                  <w:color w:val="000000" w:themeColor="text1"/>
                  <w:sz w:val="24"/>
                  <w:szCs w:val="24"/>
                  <w:lang w:val="it-IT"/>
                </w:rPr>
                <w:t>https://www.masiotas.lt</w:t>
              </w:r>
            </w:hyperlink>
            <w:r w:rsidRPr="00337540">
              <w:rPr>
                <w:rFonts w:ascii="Times New Roman" w:eastAsia="Aptos" w:hAnsi="Times New Roman"/>
                <w:color w:val="000000" w:themeColor="text1"/>
                <w:sz w:val="24"/>
                <w:szCs w:val="24"/>
                <w:lang w:val="it-IT"/>
              </w:rPr>
              <w:t>.</w:t>
            </w:r>
          </w:p>
          <w:p w14:paraId="70ADE2F5" w14:textId="77777777" w:rsidR="00337540" w:rsidRPr="00337540" w:rsidRDefault="00337540" w:rsidP="00EA08B9">
            <w:pPr>
              <w:jc w:val="both"/>
              <w:rPr>
                <w:rFonts w:ascii="Times New Roman" w:eastAsia="Aptos" w:hAnsi="Times New Roman"/>
                <w:color w:val="000000" w:themeColor="text1"/>
                <w:sz w:val="24"/>
                <w:szCs w:val="24"/>
                <w:lang w:val="it-IT"/>
              </w:rPr>
            </w:pPr>
            <w:r w:rsidRPr="00337540">
              <w:rPr>
                <w:rFonts w:ascii="Times New Roman" w:eastAsia="Aptos" w:hAnsi="Times New Roman"/>
                <w:color w:val="000000" w:themeColor="text1"/>
                <w:sz w:val="24"/>
                <w:szCs w:val="24"/>
                <w:lang w:val="it-IT"/>
              </w:rPr>
              <w:t xml:space="preserve">Visi 8 klasių mokiniai (84 mok.) sėkmingai baigė pagrindinio ugdymo I dalies programą: iš jų 74 mokiniai ugdymąsi tęsia miesto gimnazijose, 2 – profesinėse mokyklose, 5 – </w:t>
            </w:r>
            <w:r w:rsidRPr="00337540">
              <w:rPr>
                <w:rFonts w:ascii="Times New Roman" w:eastAsia="Aptos" w:hAnsi="Times New Roman"/>
                <w:color w:val="000000" w:themeColor="text1"/>
                <w:sz w:val="24"/>
                <w:szCs w:val="24"/>
                <w:shd w:val="clear" w:color="auto" w:fill="FFFFFF"/>
                <w:lang w:val="it-IT"/>
              </w:rPr>
              <w:t>VŠĮ Tarptautinėje Ukrainos mokykloje</w:t>
            </w:r>
            <w:r w:rsidRPr="00337540">
              <w:rPr>
                <w:rFonts w:ascii="Times New Roman" w:eastAsia="Aptos" w:hAnsi="Times New Roman"/>
                <w:color w:val="000000" w:themeColor="text1"/>
                <w:sz w:val="24"/>
                <w:szCs w:val="24"/>
                <w:lang w:val="it-IT"/>
              </w:rPr>
              <w:t>, 3 išvyko į Ukrainą.</w:t>
            </w:r>
          </w:p>
          <w:p w14:paraId="59E8C9B6" w14:textId="77777777" w:rsidR="00337540" w:rsidRPr="00337540" w:rsidRDefault="00337540" w:rsidP="00EA08B9">
            <w:pPr>
              <w:jc w:val="both"/>
              <w:rPr>
                <w:rFonts w:ascii="Times New Roman" w:eastAsia="Aptos" w:hAnsi="Times New Roman"/>
                <w:color w:val="000000" w:themeColor="text1"/>
                <w:sz w:val="24"/>
                <w:szCs w:val="24"/>
                <w:lang w:val="it-IT"/>
              </w:rPr>
            </w:pPr>
            <w:r w:rsidRPr="00337540">
              <w:rPr>
                <w:rFonts w:ascii="Times New Roman" w:eastAsia="Aptos" w:hAnsi="Times New Roman"/>
                <w:color w:val="000000" w:themeColor="text1"/>
                <w:sz w:val="24"/>
                <w:szCs w:val="24"/>
                <w:lang w:val="it-IT"/>
              </w:rPr>
              <w:lastRenderedPageBreak/>
              <w:t>2023 m. Progimnazijos veiklos kokybės įsivertinimo darbo grupė atliko „Mokymasis be sienų“ auditą.  Aukščiausiai buvo įvertintas rodiklis „Mokymasis virtualioje aplinkoje“. Nustatyta, kad mokymasis virtualioje aplinkoje gerina mokymosi rezultatus, gilina dalyko žinias, padeda tyrinėti ir eksperimentuoti, patraukliau pateikti ugdymo turinį. Žemesnio įvertinimo rodiklis – „Mokymasis ne mokykloje“. Nuspęsta 2024 m. atlikti giluminį šio rodiklio vertinimą.</w:t>
            </w:r>
          </w:p>
          <w:p w14:paraId="528F3CEF" w14:textId="77777777" w:rsidR="00337540" w:rsidRPr="00337540" w:rsidRDefault="00337540" w:rsidP="00EA08B9">
            <w:pPr>
              <w:jc w:val="both"/>
              <w:rPr>
                <w:rFonts w:ascii="Times New Roman" w:eastAsia="Aptos" w:hAnsi="Times New Roman"/>
                <w:color w:val="000000" w:themeColor="text1"/>
                <w:sz w:val="24"/>
                <w:szCs w:val="24"/>
                <w:lang w:val="it-IT"/>
              </w:rPr>
            </w:pPr>
            <w:r w:rsidRPr="00337540">
              <w:rPr>
                <w:rFonts w:ascii="Times New Roman" w:eastAsia="Aptos" w:hAnsi="Times New Roman"/>
                <w:color w:val="000000" w:themeColor="text1"/>
                <w:sz w:val="24"/>
                <w:szCs w:val="24"/>
                <w:shd w:val="clear" w:color="auto" w:fill="FFFFFF"/>
                <w:lang w:val="it-IT"/>
              </w:rPr>
              <w:t>– antruoju uždaviniu buvo siekiama aktyvinti</w:t>
            </w:r>
            <w:r w:rsidRPr="00337540">
              <w:rPr>
                <w:rFonts w:ascii="Times New Roman" w:eastAsia="Aptos" w:hAnsi="Times New Roman"/>
                <w:color w:val="000000" w:themeColor="text1"/>
                <w:sz w:val="24"/>
                <w:szCs w:val="24"/>
                <w:lang w:val="it-IT"/>
              </w:rPr>
              <w:t xml:space="preserve"> prevencinę veiklą ir sudaryti sąlygas mokinių saviraiškos poreikių tenkinimui bei savalaikei švietimo pagalbai.</w:t>
            </w:r>
          </w:p>
          <w:p w14:paraId="5C21734A" w14:textId="77777777" w:rsidR="00337540" w:rsidRPr="00337540" w:rsidRDefault="00337540" w:rsidP="00EA08B9">
            <w:pPr>
              <w:jc w:val="both"/>
              <w:rPr>
                <w:rFonts w:ascii="Times New Roman" w:eastAsia="Aptos" w:hAnsi="Times New Roman"/>
                <w:color w:val="000000" w:themeColor="text1"/>
                <w:sz w:val="24"/>
                <w:szCs w:val="24"/>
                <w:shd w:val="clear" w:color="auto" w:fill="FFFFFF"/>
                <w:lang w:val="it-IT"/>
              </w:rPr>
            </w:pPr>
            <w:r w:rsidRPr="00337540">
              <w:rPr>
                <w:rFonts w:ascii="Times New Roman" w:eastAsia="Aptos" w:hAnsi="Times New Roman"/>
                <w:color w:val="000000" w:themeColor="text1"/>
                <w:sz w:val="24"/>
                <w:szCs w:val="24"/>
                <w:lang w:val="it-IT"/>
              </w:rPr>
              <w:t xml:space="preserve">Progimnazijoje veikė 32 neformaliojo švietimo būreliai (2022 m. </w:t>
            </w:r>
            <w:r w:rsidRPr="00E30BEA">
              <w:rPr>
                <w:rFonts w:ascii="Times New Roman" w:eastAsia="Aptos" w:hAnsi="Times New Roman"/>
                <w:color w:val="000000" w:themeColor="text1"/>
                <w:sz w:val="24"/>
                <w:szCs w:val="24"/>
                <w:lang w:val="fr-BE"/>
              </w:rPr>
              <w:t xml:space="preserve">– </w:t>
            </w:r>
            <w:r w:rsidRPr="00337540">
              <w:rPr>
                <w:rFonts w:ascii="Times New Roman" w:eastAsia="Aptos" w:hAnsi="Times New Roman"/>
                <w:color w:val="000000" w:themeColor="text1"/>
                <w:sz w:val="24"/>
                <w:szCs w:val="24"/>
                <w:lang w:val="it-IT"/>
              </w:rPr>
              <w:t>36), kuriuos lankė 426 mokiniai, t. y., 69,6 % mokinių (2022 m.</w:t>
            </w:r>
            <w:r w:rsidRPr="00E30BEA">
              <w:rPr>
                <w:rFonts w:ascii="Times New Roman" w:eastAsia="Aptos" w:hAnsi="Times New Roman"/>
                <w:color w:val="000000" w:themeColor="text1"/>
                <w:sz w:val="24"/>
                <w:szCs w:val="24"/>
                <w:lang w:val="fr-BE"/>
              </w:rPr>
              <w:t xml:space="preserve"> – 68,7 </w:t>
            </w:r>
            <w:r w:rsidRPr="00337540">
              <w:rPr>
                <w:rFonts w:ascii="Times New Roman" w:eastAsia="Aptos" w:hAnsi="Times New Roman"/>
                <w:color w:val="000000" w:themeColor="text1"/>
                <w:sz w:val="24"/>
                <w:szCs w:val="24"/>
                <w:lang w:val="it-IT"/>
              </w:rPr>
              <w:t>%</w:t>
            </w:r>
            <w:r w:rsidRPr="00E30BEA">
              <w:rPr>
                <w:rFonts w:ascii="Times New Roman" w:eastAsia="Aptos" w:hAnsi="Times New Roman"/>
                <w:color w:val="000000" w:themeColor="text1"/>
                <w:sz w:val="24"/>
                <w:szCs w:val="24"/>
                <w:lang w:val="fr-BE"/>
              </w:rPr>
              <w:t>).</w:t>
            </w:r>
            <w:r w:rsidRPr="00337540">
              <w:rPr>
                <w:rFonts w:ascii="Times New Roman" w:eastAsia="Aptos" w:hAnsi="Times New Roman"/>
                <w:color w:val="000000" w:themeColor="text1"/>
                <w:sz w:val="24"/>
                <w:szCs w:val="24"/>
                <w:lang w:val="it-IT"/>
              </w:rPr>
              <w:t xml:space="preserve"> Neformaliojo švietimo veikla ugdė mokinių kūrybiškumą, pažinimo, komunikavimo, sveikos gyvensenos, pilietiškumo kompetencijas, gebėjimą naudotis šiuolaikinėmis technologijomis.</w:t>
            </w:r>
          </w:p>
          <w:p w14:paraId="0A50CF41" w14:textId="77777777" w:rsidR="00337540" w:rsidRPr="00337540" w:rsidRDefault="00337540" w:rsidP="00EA08B9">
            <w:pPr>
              <w:jc w:val="both"/>
              <w:rPr>
                <w:rFonts w:ascii="Times New Roman" w:eastAsia="Aptos" w:hAnsi="Times New Roman"/>
                <w:color w:val="000000" w:themeColor="text1"/>
                <w:sz w:val="24"/>
                <w:szCs w:val="24"/>
                <w:shd w:val="clear" w:color="auto" w:fill="FFFFFF"/>
                <w:lang w:val="it-IT"/>
              </w:rPr>
            </w:pPr>
            <w:r w:rsidRPr="00337540">
              <w:rPr>
                <w:rFonts w:ascii="Times New Roman" w:eastAsia="Aptos" w:hAnsi="Times New Roman"/>
                <w:color w:val="000000" w:themeColor="text1"/>
                <w:sz w:val="24"/>
                <w:szCs w:val="24"/>
                <w:shd w:val="clear" w:color="auto" w:fill="FFFFFF"/>
                <w:lang w:val="it-IT"/>
              </w:rPr>
              <w:t>Siekiat  saugumo, skatinant visavertę asmenybės raišką buvo nuolat teikiama įvairiapusė pagalba mokiniui.</w:t>
            </w:r>
            <w:r w:rsidRPr="00337540">
              <w:rPr>
                <w:rFonts w:ascii="Times New Roman" w:eastAsia="Aptos" w:hAnsi="Times New Roman"/>
                <w:color w:val="000000" w:themeColor="text1"/>
                <w:sz w:val="24"/>
                <w:szCs w:val="24"/>
                <w:lang w:val="it-IT"/>
              </w:rPr>
              <w:t xml:space="preserve"> Gabiems ir mokymosi sunkumų patiriantiems mokiniams suteiktos 790 individualios konsultacijos (2022 m. – 1097), 20 konsultacijų skirta mokiniams, nepasiekusiems dalyko patenkinamo lygmens. </w:t>
            </w:r>
            <w:r w:rsidRPr="00337540">
              <w:rPr>
                <w:rFonts w:ascii="Times New Roman" w:eastAsia="Aptos" w:hAnsi="Times New Roman"/>
                <w:color w:val="000000" w:themeColor="text1"/>
                <w:sz w:val="24"/>
                <w:szCs w:val="24"/>
                <w:shd w:val="clear" w:color="auto" w:fill="FFFFFF"/>
                <w:lang w:val="it-IT"/>
              </w:rPr>
              <w:t>Vaiko gerovės komisija organizavo 23 posėdžius (2022 m. – 31). Juose buvo analizuojami mokinių, turinčių laikinų mokymosi sunkumų, ir specialiųjų ugdymosi poreikių mokinių (toliau SUP) pasiekimai, kylančios problemos, planuojama pagalba, vertinamas jos efektyvumas, koordinuojama pagalba elgesio ir emocijų išraiškos problemų turintiems vaikams, inicijuojami prevenciniai renginiai, analizuojamos saugumo stiprinimo, mikroklimato klasėse gerinimo galimybės. 48 mokiniams (2022 m. – 44) buvo teikta specialiojo pedagogo, 60 mokinių (2022 m. – 59) – logopedo pagalba, 351 mokiniams (2022 m. – 304) – socialinė pagalba. Siekiant spręsti mokinių psichologines problemas, gerinant mokinių, jų tėvų ir mokytojų tarpusavio santykius, teiktos psichologo konsultacijos: 305 – mokiniams (2022 m. – 398), 94 – mokinių tėvams (2022 m. – 118), 48 – pedagogams (2022 m. – 101). </w:t>
            </w:r>
          </w:p>
          <w:p w14:paraId="592B9D45" w14:textId="77777777" w:rsidR="00337540" w:rsidRPr="00337540" w:rsidRDefault="00337540" w:rsidP="00EA08B9">
            <w:pPr>
              <w:jc w:val="both"/>
              <w:rPr>
                <w:rFonts w:ascii="Times New Roman" w:eastAsia="Aptos" w:hAnsi="Times New Roman"/>
                <w:color w:val="000000" w:themeColor="text1"/>
                <w:sz w:val="24"/>
                <w:szCs w:val="24"/>
                <w:lang w:val="it-IT"/>
              </w:rPr>
            </w:pPr>
            <w:r w:rsidRPr="00337540">
              <w:rPr>
                <w:rFonts w:ascii="Times New Roman" w:eastAsia="Aptos" w:hAnsi="Times New Roman"/>
                <w:color w:val="000000" w:themeColor="text1"/>
                <w:sz w:val="24"/>
                <w:szCs w:val="24"/>
                <w:lang w:val="it-IT"/>
              </w:rPr>
              <w:t xml:space="preserve">Atlikti 1, 5 klasių, naujai atvykusių mokinių adaptacijos bei emocinės ir edukacinės mokymosi aplinkos tyrimai, mokinių patyčių paplitimas ir poveikis mokykloje, vykdyta pedagogų apklausa apie pasirengimą įtraukiajam ugdymui. Pateiktos rekomendacijos mokytojams ir tėvams, kaip spręsti problemas, tobulinti ugdymo procesą. Didelis dėmesys buvo skiriamas elektroninių cigarečių vartojimo prevencijai: sustiprintas mokytojų budėjimas pertraukų metu, įrengtos koridoriuose vaizdo stebėjimo kameros, organizuotos klasės valandėlės bei tėvų švietimas. </w:t>
            </w:r>
          </w:p>
          <w:p w14:paraId="793D43CB" w14:textId="77777777" w:rsidR="00337540" w:rsidRPr="00337540" w:rsidRDefault="00337540" w:rsidP="00EA08B9">
            <w:pPr>
              <w:jc w:val="both"/>
              <w:rPr>
                <w:rFonts w:ascii="Times New Roman" w:eastAsia="Times New Roman" w:hAnsi="Times New Roman"/>
                <w:color w:val="000000" w:themeColor="text1"/>
                <w:sz w:val="24"/>
                <w:szCs w:val="24"/>
                <w:lang w:val="it-IT" w:eastAsia="lt-LT"/>
              </w:rPr>
            </w:pPr>
            <w:r w:rsidRPr="00337540">
              <w:rPr>
                <w:rFonts w:ascii="Times New Roman" w:eastAsia="Times New Roman" w:hAnsi="Times New Roman"/>
                <w:color w:val="000000" w:themeColor="text1"/>
                <w:sz w:val="24"/>
                <w:szCs w:val="24"/>
                <w:lang w:val="it-IT" w:eastAsia="lt-LT"/>
              </w:rPr>
              <w:t xml:space="preserve">2023 m. toliau buvo vykdomos ilgalaikės prevencinės programos, ugdančios mokinių socialines ir emocines kompetencijas: 5 </w:t>
            </w:r>
            <w:r w:rsidRPr="00337540">
              <w:rPr>
                <w:rFonts w:ascii="Times New Roman" w:eastAsia="Aptos" w:hAnsi="Times New Roman"/>
                <w:color w:val="000000" w:themeColor="text1"/>
                <w:sz w:val="24"/>
                <w:szCs w:val="24"/>
                <w:lang w:val="it-IT"/>
              </w:rPr>
              <w:t xml:space="preserve">– </w:t>
            </w:r>
            <w:r w:rsidRPr="00337540">
              <w:rPr>
                <w:rFonts w:ascii="Times New Roman" w:eastAsia="Times New Roman" w:hAnsi="Times New Roman"/>
                <w:color w:val="000000" w:themeColor="text1"/>
                <w:sz w:val="24"/>
                <w:szCs w:val="24"/>
                <w:lang w:val="it-IT" w:eastAsia="lt-LT"/>
              </w:rPr>
              <w:t>8 klasėse Lions Quest gyvenimo įgūdžių ugdymo programa ,,Paauglystės kryžkelės</w:t>
            </w:r>
            <w:r w:rsidRPr="00337540">
              <w:rPr>
                <w:rFonts w:ascii="Times New Roman" w:eastAsia="Aptos" w:hAnsi="Times New Roman"/>
                <w:color w:val="000000" w:themeColor="text1"/>
                <w:sz w:val="24"/>
                <w:szCs w:val="24"/>
                <w:lang w:val="it-IT"/>
              </w:rPr>
              <w:t>“, 1 – 4 klasėse socialinių emocinių įgūdžių lavinimo ir smurto prevencijos programa „Antrasis žingsnis“, mokyklos interneto svetainėje veikė elektroninė  „Patyčių dėžutė“. </w:t>
            </w:r>
          </w:p>
          <w:p w14:paraId="3E5EB9E2" w14:textId="77777777" w:rsidR="00337540" w:rsidRPr="00337540" w:rsidRDefault="00337540" w:rsidP="00EA08B9">
            <w:pPr>
              <w:jc w:val="both"/>
              <w:rPr>
                <w:rFonts w:ascii="Times New Roman" w:hAnsi="Times New Roman"/>
                <w:color w:val="000000" w:themeColor="text1"/>
                <w:sz w:val="24"/>
                <w:szCs w:val="24"/>
                <w:lang w:val="it-IT"/>
              </w:rPr>
            </w:pPr>
            <w:r w:rsidRPr="00337540">
              <w:rPr>
                <w:rFonts w:ascii="Times New Roman" w:eastAsia="Aptos" w:hAnsi="Times New Roman"/>
                <w:color w:val="000000" w:themeColor="text1"/>
                <w:sz w:val="24"/>
                <w:szCs w:val="24"/>
                <w:lang w:val="it-IT"/>
              </w:rPr>
              <w:t>Sėkmingai buvo skatinamas Progimnazijos ir mokinių tėvų bendradarbiavimas, jų įsitraukimas į ugdymo procesą: organizuojami tėvų susirinkimai, individualūs pokalbiai, daug dėmesio skirta sklandžiam komunikavimui elektroniniame dienyne, siųsti sveikinimai, teiktos padėkos, kviečiami dalyvauti Progimnazijos renginiuose. Savo veiklą tęsė Tėvų klubas, kuris mokiniams organizavo projektą „Naktis mokykloje“, kalėdinį karnavalą „Atgal į 80 uosius“, „Vilties bėgimą“.</w:t>
            </w:r>
          </w:p>
          <w:p w14:paraId="530DE5BF" w14:textId="77777777" w:rsidR="00337540" w:rsidRPr="00337540" w:rsidRDefault="00337540" w:rsidP="00EA08B9">
            <w:pPr>
              <w:tabs>
                <w:tab w:val="left" w:pos="540"/>
              </w:tabs>
              <w:jc w:val="both"/>
              <w:rPr>
                <w:rFonts w:ascii="Times New Roman" w:eastAsia="Aptos" w:hAnsi="Times New Roman"/>
                <w:color w:val="000000" w:themeColor="text1"/>
                <w:sz w:val="24"/>
                <w:szCs w:val="24"/>
                <w:lang w:val="it-IT"/>
              </w:rPr>
            </w:pPr>
            <w:r w:rsidRPr="00337540">
              <w:rPr>
                <w:rFonts w:ascii="Times New Roman" w:eastAsia="Aptos" w:hAnsi="Times New Roman"/>
                <w:color w:val="000000" w:themeColor="text1"/>
                <w:sz w:val="24"/>
                <w:szCs w:val="24"/>
                <w:lang w:val="it-IT"/>
              </w:rPr>
              <w:t xml:space="preserve">– įgyvendinant trečiąjį uždavinį – aktyvinti pedagogų metodinę veiklą ir sudaryti sąlygas jų asmeniniam bei profesiniam tobulėjimui – vyko </w:t>
            </w:r>
            <w:r w:rsidRPr="00337540">
              <w:rPr>
                <w:rFonts w:ascii="Times New Roman" w:eastAsia="Times New Roman" w:hAnsi="Times New Roman"/>
                <w:color w:val="000000" w:themeColor="text1"/>
                <w:sz w:val="24"/>
                <w:szCs w:val="24"/>
                <w:lang w:val="it-IT" w:eastAsia="lt-LT"/>
              </w:rPr>
              <w:t>Progimnazijos pedagogų tarpusavio bendradarbiavimas: buvo pravestos ir metodinėse grupėse bei individualiai aptartos</w:t>
            </w:r>
            <w:r w:rsidRPr="00337540">
              <w:rPr>
                <w:rFonts w:ascii="Times New Roman" w:eastAsia="Times New Roman" w:hAnsi="Times New Roman"/>
                <w:b/>
                <w:bCs/>
                <w:color w:val="000000" w:themeColor="text1"/>
                <w:sz w:val="24"/>
                <w:szCs w:val="24"/>
                <w:lang w:val="it-IT" w:eastAsia="lt-LT"/>
              </w:rPr>
              <w:t xml:space="preserve"> </w:t>
            </w:r>
            <w:r w:rsidRPr="00337540">
              <w:rPr>
                <w:rFonts w:ascii="Times New Roman" w:eastAsia="Times New Roman" w:hAnsi="Times New Roman"/>
                <w:color w:val="000000" w:themeColor="text1"/>
                <w:sz w:val="24"/>
                <w:szCs w:val="24"/>
                <w:lang w:val="it-IT" w:eastAsia="lt-LT"/>
              </w:rPr>
              <w:t xml:space="preserve">64 atviros pamokos (2022 m. </w:t>
            </w:r>
            <w:r w:rsidRPr="00337540">
              <w:rPr>
                <w:rFonts w:ascii="Times New Roman" w:eastAsia="Aptos" w:hAnsi="Times New Roman"/>
                <w:color w:val="000000" w:themeColor="text1"/>
                <w:sz w:val="24"/>
                <w:szCs w:val="24"/>
                <w:lang w:val="it-IT"/>
              </w:rPr>
              <w:t xml:space="preserve">– </w:t>
            </w:r>
            <w:r w:rsidRPr="00337540">
              <w:rPr>
                <w:rFonts w:ascii="Times New Roman" w:eastAsia="Times New Roman" w:hAnsi="Times New Roman"/>
                <w:color w:val="000000" w:themeColor="text1"/>
                <w:sz w:val="24"/>
                <w:szCs w:val="24"/>
                <w:lang w:val="it-IT" w:eastAsia="lt-LT"/>
              </w:rPr>
              <w:t xml:space="preserve">47), organizuoti 29 mokykliniai renginiai, 21 akcija, 6 renginiai, skirti Klaipėdos krašto prijungimo prie Lietuvos 100 - mečiui paminėti. Buvo organizuoti Progimnazijos pedagogų bendruomenei 3 seminarai, kuriuose pedagogai tobulino didaktines ir bendrąsias kompetencijas, pagilino šiuolaikinių metodų taikymo, pamokos vadybos, vertinimo ir įsivertinimo pagal atnaujintas ugdymo programas, įtraukiojo ugdymo žinias. Per metus vidutiniškai pedagogai tobulino savo kvalifikaciją 14,2 dienas (2022 m. – 9,6 dienos). 3 pedagogai buvo atestuoti vyr. mokytojo kvalifikacinei kategorijai. </w:t>
            </w:r>
          </w:p>
          <w:p w14:paraId="5733B7A3" w14:textId="77777777" w:rsidR="00337540" w:rsidRPr="00337540" w:rsidRDefault="00337540" w:rsidP="00EA08B9">
            <w:pPr>
              <w:tabs>
                <w:tab w:val="left" w:pos="990"/>
              </w:tabs>
              <w:jc w:val="both"/>
              <w:rPr>
                <w:rFonts w:ascii="Times New Roman" w:eastAsia="Aptos" w:hAnsi="Times New Roman"/>
                <w:color w:val="000000" w:themeColor="text1"/>
                <w:sz w:val="24"/>
                <w:szCs w:val="24"/>
                <w:lang w:val="it-IT"/>
              </w:rPr>
            </w:pPr>
            <w:r w:rsidRPr="00337540">
              <w:rPr>
                <w:rFonts w:ascii="Times New Roman" w:eastAsia="Times New Roman" w:hAnsi="Times New Roman"/>
                <w:color w:val="000000" w:themeColor="text1"/>
                <w:sz w:val="24"/>
                <w:szCs w:val="24"/>
                <w:lang w:val="it-IT" w:eastAsia="lt-LT"/>
              </w:rPr>
              <w:lastRenderedPageBreak/>
              <w:t xml:space="preserve">Progimnazijos pedagogai organizavo miesto konferenciją </w:t>
            </w:r>
            <w:r w:rsidRPr="00337540">
              <w:rPr>
                <w:rFonts w:ascii="Times New Roman" w:eastAsia="Aptos" w:hAnsi="Times New Roman"/>
                <w:color w:val="000000" w:themeColor="text1"/>
                <w:sz w:val="24"/>
                <w:szCs w:val="24"/>
                <w:shd w:val="clear" w:color="auto" w:fill="FFFFFF"/>
                <w:lang w:val="it-IT"/>
              </w:rPr>
              <w:t xml:space="preserve"> „Šv. Jonas Paulius II </w:t>
            </w:r>
            <w:r w:rsidRPr="00337540">
              <w:rPr>
                <w:rFonts w:ascii="Times New Roman" w:eastAsia="Aptos" w:hAnsi="Times New Roman"/>
                <w:color w:val="000000" w:themeColor="text1"/>
                <w:sz w:val="24"/>
                <w:szCs w:val="24"/>
                <w:lang w:val="it-IT"/>
              </w:rPr>
              <w:t xml:space="preserve">– </w:t>
            </w:r>
            <w:r w:rsidRPr="00337540">
              <w:rPr>
                <w:rFonts w:ascii="Times New Roman" w:eastAsia="Aptos" w:hAnsi="Times New Roman"/>
                <w:color w:val="000000" w:themeColor="text1"/>
                <w:sz w:val="24"/>
                <w:szCs w:val="24"/>
                <w:shd w:val="clear" w:color="auto" w:fill="FFFFFF"/>
                <w:lang w:val="it-IT"/>
              </w:rPr>
              <w:t>Gyvybės Evangelijos skleidėjas pasaulyje ir Lietuvoje“, metodinę dieną Klaipėdos miesto tikybos mokytojams,</w:t>
            </w:r>
            <w:r w:rsidRPr="00337540">
              <w:rPr>
                <w:rFonts w:ascii="Times New Roman" w:eastAsia="Aptos" w:hAnsi="Times New Roman"/>
                <w:color w:val="000000" w:themeColor="text1"/>
                <w:sz w:val="24"/>
                <w:szCs w:val="24"/>
                <w:lang w:val="it-IT"/>
              </w:rPr>
              <w:t xml:space="preserve"> pravedė 2 autorinius seminarus (2022 m. – 3), skaitė 20 pranešimų miesto, šalies ir tarptautinėse konferencijose (2022 m. – 21), 1 pedagogas dalyvavo brandos egzaminų vertinimo, 7 – miesto olimpiadų ir konkursų vertinimo komisijose, 22  vadovavo Vilniaus universiteto, Klaipėdos universiteto, LCC, Klaipėdos valstybinės kolegijos studentų praktikai. </w:t>
            </w:r>
          </w:p>
          <w:p w14:paraId="7618CD97" w14:textId="77777777" w:rsidR="00337540" w:rsidRPr="00337540" w:rsidRDefault="00337540" w:rsidP="00EA08B9">
            <w:pPr>
              <w:tabs>
                <w:tab w:val="left" w:pos="990"/>
              </w:tabs>
              <w:jc w:val="both"/>
              <w:rPr>
                <w:rFonts w:ascii="Times New Roman" w:eastAsia="Aptos" w:hAnsi="Times New Roman"/>
                <w:color w:val="000000" w:themeColor="text1"/>
                <w:sz w:val="24"/>
                <w:szCs w:val="24"/>
                <w:lang w:val="fr-BE"/>
              </w:rPr>
            </w:pPr>
            <w:r w:rsidRPr="00337540">
              <w:rPr>
                <w:rFonts w:ascii="Times New Roman" w:eastAsia="Aptos" w:hAnsi="Times New Roman"/>
                <w:color w:val="000000" w:themeColor="text1"/>
                <w:sz w:val="24"/>
                <w:szCs w:val="24"/>
                <w:lang w:val="it-IT"/>
              </w:rPr>
              <w:t>Stiprinant bendruomenės narių lyderystę, dialogą, mokymąsi vieniems iš kitų ir sutelktumą buvo organizuoti tradiciniai Progimnazijos renginiai, puoselėtos katalikiškos vertybės.</w:t>
            </w:r>
            <w:r w:rsidRPr="00E30BEA">
              <w:rPr>
                <w:rFonts w:ascii="Times New Roman" w:eastAsia="Aptos" w:hAnsi="Times New Roman"/>
                <w:color w:val="000000" w:themeColor="text1"/>
                <w:sz w:val="24"/>
                <w:szCs w:val="24"/>
                <w:lang w:val="fr-BE"/>
              </w:rPr>
              <w:t xml:space="preserve"> Organizuota edukacinė pedagogų išvyka į Gdanską, </w:t>
            </w:r>
            <w:r w:rsidRPr="00337540">
              <w:rPr>
                <w:rFonts w:ascii="Times New Roman" w:eastAsia="Aptos" w:hAnsi="Times New Roman"/>
                <w:color w:val="000000" w:themeColor="text1"/>
                <w:sz w:val="24"/>
                <w:szCs w:val="24"/>
                <w:lang w:val="fr-BE"/>
              </w:rPr>
              <w:t xml:space="preserve">Didžiuosius Žemaičių Kalvarijos atlaidus, Plikių žvakių fabriką, Dovilų pagrindinę mokyklą. Progimnazijos bendruomenei buvo skirtos šv. Mišios, Advento, Gavėnios rekolekcijos. Vyko įvairios akcijos – teikta parama nuo karo nukentėjusiems ukrainiečiams bei stokojantiems Progimnazijos bendruomenės nariams.  </w:t>
            </w:r>
          </w:p>
          <w:p w14:paraId="309410D8" w14:textId="77777777" w:rsidR="00337540" w:rsidRPr="00337540" w:rsidRDefault="00337540" w:rsidP="00EA08B9">
            <w:pPr>
              <w:jc w:val="both"/>
              <w:rPr>
                <w:rFonts w:ascii="Times New Roman" w:eastAsia="Aptos" w:hAnsi="Times New Roman"/>
                <w:color w:val="000000" w:themeColor="text1"/>
                <w:sz w:val="24"/>
                <w:szCs w:val="24"/>
                <w:lang w:val="fr-BE"/>
              </w:rPr>
            </w:pPr>
            <w:r w:rsidRPr="00337540">
              <w:rPr>
                <w:rFonts w:ascii="Times New Roman" w:eastAsia="Aptos" w:hAnsi="Times New Roman"/>
                <w:color w:val="000000" w:themeColor="text1"/>
                <w:sz w:val="24"/>
                <w:szCs w:val="24"/>
                <w:lang w:val="fr-BE"/>
              </w:rPr>
              <w:t xml:space="preserve">Toliau vykdytas bendradarbiavimas su socialiniais partneriais: Telšių vyskupijos kurija, Vilniaus ir Kauno Prano Mašioto, Vilniaus Vytės Nemunėlio pradinėmis mokyklomis, Klaipėdos šv. Juozapo Darbininko bažnyčia, Caritu, Klaipėdos miesto šeimos centru, Klaipėdos universitetu, Klaipėdos miesto pedagogų švietimo ir kultūros centru (toliau – KPŠKC), miesto ugdymo, kultūros ir sporto įstaigomis. Pasirašytos naujos sutartys su Vilniaus universitetu ir Klaipėdos Luizės jaunimo centru. Aktyvi buvo Progimnazijos savivaldos veikla: organizuoti 7 mokytojų tarybos, 4 Progimnazijos tarybos, 2 Tėvų tarybos  posėdžiai, aktyviai veikė Mokinių taryba, kuri inicijavo akcijas, renginius visai Progimnazijos bendruomenei. </w:t>
            </w:r>
          </w:p>
          <w:p w14:paraId="3B56F307" w14:textId="77777777" w:rsidR="00337540" w:rsidRPr="00337540" w:rsidRDefault="00337540" w:rsidP="00EA08B9">
            <w:pPr>
              <w:jc w:val="both"/>
              <w:rPr>
                <w:rFonts w:ascii="Times New Roman" w:eastAsia="Aptos" w:hAnsi="Times New Roman"/>
                <w:b/>
                <w:color w:val="000000" w:themeColor="text1"/>
                <w:sz w:val="24"/>
                <w:szCs w:val="24"/>
                <w:lang w:val="fr-BE"/>
              </w:rPr>
            </w:pPr>
            <w:r w:rsidRPr="00337540">
              <w:rPr>
                <w:rFonts w:ascii="Times New Roman" w:eastAsia="Aptos" w:hAnsi="Times New Roman"/>
                <w:color w:val="000000" w:themeColor="text1"/>
                <w:sz w:val="24"/>
                <w:szCs w:val="24"/>
                <w:lang w:val="fr-BE"/>
              </w:rPr>
              <w:t>– siekiant strateginio veiklos plano antrojo tikslo – užtikrinti saugią ir šiuolaikinius ugdymo(si) reikalavimus atitinkančią aplinką</w:t>
            </w:r>
            <w:r w:rsidRPr="00E30BEA">
              <w:rPr>
                <w:rFonts w:ascii="Times New Roman" w:eastAsia="Aptos" w:hAnsi="Times New Roman"/>
                <w:bCs/>
                <w:color w:val="000000" w:themeColor="text1"/>
                <w:sz w:val="24"/>
                <w:szCs w:val="24"/>
                <w:lang w:val="fr-BE"/>
              </w:rPr>
              <w:t xml:space="preserve"> – įrengtos vidaus patalpų apsaugos kameros (3,124 Eur.), nupirkti nauji baldai bibliotekai ir technologijų kabinetui (7,7 tūkst. Eur), pakeisti kabinetų informaciniai užrašai (0,8 tūkst. Eur), kabinetų liuminescencinės lempos į LED (3,07 tūkst Eur), aktų salės užuolaidos (1,5 tūkst. Eur), 2 kupolinai švieslangiai (4,9 tūkst. Eur),</w:t>
            </w:r>
            <w:r w:rsidRPr="00E30BEA">
              <w:rPr>
                <w:rFonts w:ascii="Times New Roman" w:eastAsia="Aptos" w:hAnsi="Times New Roman"/>
                <w:color w:val="000000" w:themeColor="text1"/>
                <w:sz w:val="24"/>
                <w:szCs w:val="24"/>
                <w:lang w:val="fr-BE"/>
              </w:rPr>
              <w:t xml:space="preserve"> įrengta apsauga nuo laukinių paukščių (4,5 tūkst. Eur)</w:t>
            </w:r>
            <w:r w:rsidRPr="00E30BEA">
              <w:rPr>
                <w:rFonts w:ascii="Times New Roman" w:eastAsia="Aptos" w:hAnsi="Times New Roman"/>
                <w:bCs/>
                <w:color w:val="000000" w:themeColor="text1"/>
                <w:sz w:val="24"/>
                <w:szCs w:val="24"/>
                <w:lang w:val="fr-BE"/>
              </w:rPr>
              <w:t>, įsigyta18 kompiuterių (8,3 tūkst. Eur)</w:t>
            </w:r>
            <w:r w:rsidRPr="00E30BEA">
              <w:rPr>
                <w:rFonts w:ascii="Times New Roman" w:eastAsia="Aptos" w:hAnsi="Times New Roman"/>
                <w:color w:val="000000" w:themeColor="text1"/>
                <w:sz w:val="24"/>
                <w:szCs w:val="24"/>
                <w:shd w:val="clear" w:color="auto" w:fill="FFFFFF"/>
                <w:lang w:val="fr-BE"/>
              </w:rPr>
              <w:t>, muzikos priemonių (1,4 tūkst. Eur)</w:t>
            </w:r>
            <w:r w:rsidRPr="00E30BEA">
              <w:rPr>
                <w:rFonts w:ascii="Times New Roman" w:eastAsia="Aptos" w:hAnsi="Times New Roman"/>
                <w:color w:val="000000" w:themeColor="text1"/>
                <w:sz w:val="24"/>
                <w:szCs w:val="24"/>
                <w:lang w:val="fr-BE"/>
              </w:rPr>
              <w:t>), sporto inventoriaus (</w:t>
            </w:r>
            <w:r w:rsidRPr="00E30BEA">
              <w:rPr>
                <w:rFonts w:ascii="Times New Roman" w:eastAsia="Aptos" w:hAnsi="Times New Roman"/>
                <w:color w:val="000000" w:themeColor="text1"/>
                <w:sz w:val="24"/>
                <w:szCs w:val="24"/>
                <w:shd w:val="clear" w:color="auto" w:fill="FFFFFF"/>
                <w:lang w:val="fr-BE"/>
              </w:rPr>
              <w:t xml:space="preserve">1,3 tūkst. </w:t>
            </w:r>
            <w:proofErr w:type="gramStart"/>
            <w:r w:rsidRPr="00E30BEA">
              <w:rPr>
                <w:rFonts w:ascii="Times New Roman" w:eastAsia="Aptos" w:hAnsi="Times New Roman"/>
                <w:color w:val="000000" w:themeColor="text1"/>
                <w:sz w:val="24"/>
                <w:szCs w:val="24"/>
                <w:shd w:val="clear" w:color="auto" w:fill="FFFFFF"/>
                <w:lang w:val="fr-BE"/>
              </w:rPr>
              <w:t>Eur</w:t>
            </w:r>
            <w:r w:rsidRPr="00E30BEA">
              <w:rPr>
                <w:rFonts w:ascii="Times New Roman" w:eastAsia="Aptos" w:hAnsi="Times New Roman"/>
                <w:color w:val="000000" w:themeColor="text1"/>
                <w:sz w:val="24"/>
                <w:szCs w:val="24"/>
                <w:lang w:val="fr-BE"/>
              </w:rPr>
              <w:t xml:space="preserve"> )</w:t>
            </w:r>
            <w:proofErr w:type="gramEnd"/>
            <w:r w:rsidRPr="00E30BEA">
              <w:rPr>
                <w:rFonts w:ascii="Times New Roman" w:eastAsia="Aptos" w:hAnsi="Times New Roman"/>
                <w:color w:val="000000" w:themeColor="text1"/>
                <w:sz w:val="24"/>
                <w:szCs w:val="24"/>
                <w:lang w:val="fr-BE"/>
              </w:rPr>
              <w:t xml:space="preserve">, edukacinių priemonių (1,7 tūkst. Eur), skaitmeninio ugdymo turinio licencijų (3,3 tūkst. Eur), vadovėlių (32,7 tūkst. Eur), grožinės literatūros kūrinių (0,5 tūkst. Eur). </w:t>
            </w:r>
          </w:p>
          <w:p w14:paraId="11B6351A" w14:textId="77777777" w:rsidR="00337540" w:rsidRPr="00E30BEA" w:rsidRDefault="00337540" w:rsidP="00EA08B9">
            <w:pPr>
              <w:ind w:firstLine="603"/>
              <w:jc w:val="both"/>
              <w:rPr>
                <w:rFonts w:ascii="Times New Roman" w:eastAsia="Aptos" w:hAnsi="Times New Roman"/>
                <w:color w:val="000000" w:themeColor="text1"/>
                <w:sz w:val="24"/>
                <w:szCs w:val="24"/>
                <w:lang w:val="fr-BE"/>
              </w:rPr>
            </w:pPr>
            <w:r>
              <w:rPr>
                <w:rFonts w:ascii="Times New Roman" w:eastAsia="Aptos" w:hAnsi="Times New Roman"/>
                <w:color w:val="000000" w:themeColor="text1"/>
                <w:sz w:val="24"/>
                <w:szCs w:val="24"/>
                <w:lang w:val="fr-BE"/>
              </w:rPr>
              <w:t xml:space="preserve">2023 metų </w:t>
            </w:r>
            <w:r w:rsidRPr="00E30BEA">
              <w:rPr>
                <w:rFonts w:ascii="Times New Roman" w:eastAsia="Aptos" w:hAnsi="Times New Roman"/>
                <w:color w:val="000000" w:themeColor="text1"/>
                <w:sz w:val="24"/>
                <w:szCs w:val="24"/>
                <w:lang w:val="fr-BE"/>
              </w:rPr>
              <w:t xml:space="preserve">Progimnazijos </w:t>
            </w:r>
            <w:r>
              <w:rPr>
                <w:rFonts w:ascii="Times New Roman" w:eastAsia="Aptos" w:hAnsi="Times New Roman"/>
                <w:color w:val="000000" w:themeColor="text1"/>
                <w:sz w:val="24"/>
                <w:szCs w:val="24"/>
                <w:lang w:val="fr-BE"/>
              </w:rPr>
              <w:t>f</w:t>
            </w:r>
            <w:r w:rsidRPr="00E30BEA">
              <w:rPr>
                <w:rFonts w:ascii="Times New Roman" w:eastAsia="Aptos" w:hAnsi="Times New Roman"/>
                <w:color w:val="000000" w:themeColor="text1"/>
                <w:sz w:val="24"/>
                <w:szCs w:val="24"/>
                <w:lang w:val="fr-BE"/>
              </w:rPr>
              <w:t xml:space="preserve">inansinė </w:t>
            </w:r>
            <w:proofErr w:type="gramStart"/>
            <w:r w:rsidRPr="00E30BEA">
              <w:rPr>
                <w:rFonts w:ascii="Times New Roman" w:eastAsia="Aptos" w:hAnsi="Times New Roman"/>
                <w:color w:val="000000" w:themeColor="text1"/>
                <w:sz w:val="24"/>
                <w:szCs w:val="24"/>
                <w:lang w:val="fr-BE"/>
              </w:rPr>
              <w:t>informacija:</w:t>
            </w:r>
            <w:proofErr w:type="gramEnd"/>
          </w:p>
          <w:tbl>
            <w:tblPr>
              <w:tblStyle w:val="TableGrid"/>
              <w:tblW w:w="9585" w:type="dxa"/>
              <w:tblInd w:w="0" w:type="dxa"/>
              <w:tblLayout w:type="fixed"/>
              <w:tblLook w:val="04A0" w:firstRow="1" w:lastRow="0" w:firstColumn="1" w:lastColumn="0" w:noHBand="0" w:noVBand="1"/>
            </w:tblPr>
            <w:tblGrid>
              <w:gridCol w:w="1512"/>
              <w:gridCol w:w="915"/>
              <w:gridCol w:w="994"/>
              <w:gridCol w:w="917"/>
              <w:gridCol w:w="5247"/>
            </w:tblGrid>
            <w:tr w:rsidR="00337540" w:rsidRPr="00E30BEA" w14:paraId="6818DC18" w14:textId="77777777" w:rsidTr="00EA08B9">
              <w:tc>
                <w:tcPr>
                  <w:tcW w:w="1512" w:type="dxa"/>
                  <w:vMerge w:val="restart"/>
                  <w:tcBorders>
                    <w:top w:val="single" w:sz="4" w:space="0" w:color="auto"/>
                    <w:left w:val="single" w:sz="4" w:space="0" w:color="auto"/>
                    <w:bottom w:val="single" w:sz="4" w:space="0" w:color="auto"/>
                    <w:right w:val="single" w:sz="4" w:space="0" w:color="auto"/>
                  </w:tcBorders>
                  <w:hideMark/>
                </w:tcPr>
                <w:p w14:paraId="161FECF5" w14:textId="77777777" w:rsidR="00337540" w:rsidRPr="00E30BEA" w:rsidRDefault="00337540" w:rsidP="00EA08B9">
                  <w:pPr>
                    <w:jc w:val="both"/>
                    <w:rPr>
                      <w:rFonts w:ascii="Times New Roman" w:eastAsia="Aptos" w:hAnsi="Times New Roman"/>
                      <w:color w:val="000000" w:themeColor="text1"/>
                      <w:sz w:val="24"/>
                      <w:szCs w:val="24"/>
                      <w:lang w:val="fr-BE"/>
                    </w:rPr>
                  </w:pPr>
                  <w:r w:rsidRPr="00E30BEA">
                    <w:rPr>
                      <w:rFonts w:ascii="Times New Roman" w:eastAsia="Aptos" w:hAnsi="Times New Roman"/>
                      <w:color w:val="000000" w:themeColor="text1"/>
                      <w:sz w:val="24"/>
                      <w:szCs w:val="24"/>
                      <w:lang w:val="fr-BE"/>
                    </w:rPr>
                    <w:t>Finansavimo šaltinis</w:t>
                  </w:r>
                </w:p>
              </w:tc>
              <w:tc>
                <w:tcPr>
                  <w:tcW w:w="2823" w:type="dxa"/>
                  <w:gridSpan w:val="3"/>
                  <w:tcBorders>
                    <w:top w:val="single" w:sz="4" w:space="0" w:color="auto"/>
                    <w:left w:val="single" w:sz="4" w:space="0" w:color="auto"/>
                    <w:bottom w:val="single" w:sz="4" w:space="0" w:color="auto"/>
                    <w:right w:val="single" w:sz="4" w:space="0" w:color="auto"/>
                  </w:tcBorders>
                  <w:hideMark/>
                </w:tcPr>
                <w:p w14:paraId="61D2238E" w14:textId="77777777" w:rsidR="00337540" w:rsidRPr="00E30BEA" w:rsidRDefault="00337540" w:rsidP="00EA08B9">
                  <w:pPr>
                    <w:jc w:val="both"/>
                    <w:rPr>
                      <w:rFonts w:ascii="Times New Roman" w:eastAsia="Aptos" w:hAnsi="Times New Roman"/>
                      <w:color w:val="000000" w:themeColor="text1"/>
                      <w:sz w:val="24"/>
                      <w:szCs w:val="24"/>
                      <w:lang w:val="fr-BE"/>
                    </w:rPr>
                  </w:pPr>
                  <w:r w:rsidRPr="00E30BEA">
                    <w:rPr>
                      <w:rFonts w:ascii="Times New Roman" w:eastAsia="Aptos" w:hAnsi="Times New Roman"/>
                      <w:color w:val="000000" w:themeColor="text1"/>
                      <w:sz w:val="24"/>
                      <w:szCs w:val="24"/>
                      <w:lang w:val="fr-BE"/>
                    </w:rPr>
                    <w:t xml:space="preserve">Lėšos (tūkst. </w:t>
                  </w:r>
                  <w:proofErr w:type="gramStart"/>
                  <w:r w:rsidRPr="00E30BEA">
                    <w:rPr>
                      <w:rFonts w:ascii="Times New Roman" w:eastAsia="Aptos" w:hAnsi="Times New Roman"/>
                      <w:color w:val="000000" w:themeColor="text1"/>
                      <w:sz w:val="24"/>
                      <w:szCs w:val="24"/>
                      <w:lang w:val="fr-BE"/>
                    </w:rPr>
                    <w:t>eurų</w:t>
                  </w:r>
                  <w:proofErr w:type="gramEnd"/>
                  <w:r w:rsidRPr="00E30BEA">
                    <w:rPr>
                      <w:rFonts w:ascii="Times New Roman" w:eastAsia="Aptos" w:hAnsi="Times New Roman"/>
                      <w:color w:val="000000" w:themeColor="text1"/>
                      <w:sz w:val="24"/>
                      <w:szCs w:val="24"/>
                      <w:lang w:val="fr-BE"/>
                    </w:rPr>
                    <w:t>)</w:t>
                  </w:r>
                </w:p>
              </w:tc>
              <w:tc>
                <w:tcPr>
                  <w:tcW w:w="5244" w:type="dxa"/>
                  <w:vMerge w:val="restart"/>
                  <w:tcBorders>
                    <w:top w:val="single" w:sz="4" w:space="0" w:color="auto"/>
                    <w:left w:val="single" w:sz="4" w:space="0" w:color="auto"/>
                    <w:bottom w:val="single" w:sz="4" w:space="0" w:color="auto"/>
                    <w:right w:val="single" w:sz="4" w:space="0" w:color="auto"/>
                  </w:tcBorders>
                </w:tcPr>
                <w:p w14:paraId="55AAF366" w14:textId="77777777" w:rsidR="00337540" w:rsidRPr="00E30BEA" w:rsidRDefault="00337540" w:rsidP="00EA08B9">
                  <w:pPr>
                    <w:jc w:val="both"/>
                    <w:rPr>
                      <w:rFonts w:ascii="Times New Roman" w:eastAsia="Aptos" w:hAnsi="Times New Roman"/>
                      <w:color w:val="000000" w:themeColor="text1"/>
                      <w:sz w:val="24"/>
                      <w:szCs w:val="24"/>
                      <w:lang w:val="fr-BE"/>
                    </w:rPr>
                  </w:pPr>
                  <w:r w:rsidRPr="00E30BEA">
                    <w:rPr>
                      <w:rFonts w:ascii="Times New Roman" w:eastAsia="Aptos" w:hAnsi="Times New Roman"/>
                      <w:color w:val="000000" w:themeColor="text1"/>
                      <w:sz w:val="24"/>
                      <w:szCs w:val="24"/>
                      <w:lang w:val="fr-BE"/>
                    </w:rPr>
                    <w:t>Pastabos</w:t>
                  </w:r>
                </w:p>
                <w:p w14:paraId="1A4870B7" w14:textId="77777777" w:rsidR="00337540" w:rsidRPr="00E30BEA" w:rsidRDefault="00337540" w:rsidP="00EA08B9">
                  <w:pPr>
                    <w:jc w:val="both"/>
                    <w:rPr>
                      <w:rFonts w:ascii="Times New Roman" w:eastAsia="Aptos" w:hAnsi="Times New Roman"/>
                      <w:color w:val="000000" w:themeColor="text1"/>
                      <w:sz w:val="24"/>
                      <w:szCs w:val="24"/>
                      <w:lang w:val="fr-BE"/>
                    </w:rPr>
                  </w:pPr>
                </w:p>
              </w:tc>
            </w:tr>
            <w:tr w:rsidR="00337540" w:rsidRPr="00E30BEA" w14:paraId="28A10032" w14:textId="77777777" w:rsidTr="00EA08B9">
              <w:tc>
                <w:tcPr>
                  <w:tcW w:w="3419" w:type="dxa"/>
                  <w:vMerge/>
                  <w:tcBorders>
                    <w:top w:val="single" w:sz="4" w:space="0" w:color="auto"/>
                    <w:left w:val="single" w:sz="4" w:space="0" w:color="auto"/>
                    <w:bottom w:val="single" w:sz="4" w:space="0" w:color="auto"/>
                    <w:right w:val="single" w:sz="4" w:space="0" w:color="auto"/>
                  </w:tcBorders>
                  <w:vAlign w:val="center"/>
                  <w:hideMark/>
                </w:tcPr>
                <w:p w14:paraId="1CC066BA" w14:textId="77777777" w:rsidR="00337540" w:rsidRPr="00E30BEA" w:rsidRDefault="00337540" w:rsidP="00EA08B9">
                  <w:pPr>
                    <w:rPr>
                      <w:rFonts w:ascii="Times New Roman" w:hAnsi="Times New Roman"/>
                      <w:color w:val="000000" w:themeColor="text1"/>
                      <w:sz w:val="24"/>
                      <w:szCs w:val="24"/>
                      <w:lang w:val="fr-BE"/>
                    </w:rPr>
                  </w:pPr>
                </w:p>
              </w:tc>
              <w:tc>
                <w:tcPr>
                  <w:tcW w:w="914" w:type="dxa"/>
                  <w:tcBorders>
                    <w:top w:val="single" w:sz="4" w:space="0" w:color="auto"/>
                    <w:left w:val="single" w:sz="4" w:space="0" w:color="auto"/>
                    <w:bottom w:val="single" w:sz="4" w:space="0" w:color="auto"/>
                    <w:right w:val="single" w:sz="4" w:space="0" w:color="auto"/>
                  </w:tcBorders>
                  <w:hideMark/>
                </w:tcPr>
                <w:p w14:paraId="1C31B787" w14:textId="77777777" w:rsidR="00337540" w:rsidRPr="00E30BEA" w:rsidRDefault="00337540" w:rsidP="00EA08B9">
                  <w:pPr>
                    <w:jc w:val="both"/>
                    <w:rPr>
                      <w:rFonts w:ascii="Times New Roman" w:eastAsia="Aptos" w:hAnsi="Times New Roman"/>
                      <w:color w:val="000000" w:themeColor="text1"/>
                      <w:sz w:val="24"/>
                      <w:szCs w:val="24"/>
                      <w:lang w:val="fr-BE"/>
                    </w:rPr>
                  </w:pPr>
                  <w:r w:rsidRPr="00E30BEA">
                    <w:rPr>
                      <w:rFonts w:ascii="Times New Roman" w:eastAsia="Aptos" w:hAnsi="Times New Roman"/>
                      <w:color w:val="000000" w:themeColor="text1"/>
                      <w:sz w:val="24"/>
                      <w:szCs w:val="24"/>
                      <w:lang w:val="fr-BE"/>
                    </w:rPr>
                    <w:t>Planas (patikslintas)</w:t>
                  </w:r>
                </w:p>
              </w:tc>
              <w:tc>
                <w:tcPr>
                  <w:tcW w:w="993" w:type="dxa"/>
                  <w:tcBorders>
                    <w:top w:val="single" w:sz="4" w:space="0" w:color="auto"/>
                    <w:left w:val="single" w:sz="4" w:space="0" w:color="auto"/>
                    <w:bottom w:val="single" w:sz="4" w:space="0" w:color="auto"/>
                    <w:right w:val="single" w:sz="4" w:space="0" w:color="auto"/>
                  </w:tcBorders>
                  <w:hideMark/>
                </w:tcPr>
                <w:p w14:paraId="3A5A743C" w14:textId="77777777" w:rsidR="00337540" w:rsidRPr="00E30BEA" w:rsidRDefault="00337540" w:rsidP="00EA08B9">
                  <w:pPr>
                    <w:jc w:val="both"/>
                    <w:rPr>
                      <w:rFonts w:ascii="Times New Roman" w:eastAsia="Aptos" w:hAnsi="Times New Roman"/>
                      <w:color w:val="000000" w:themeColor="text1"/>
                      <w:sz w:val="24"/>
                      <w:szCs w:val="24"/>
                      <w:lang w:val="fr-BE"/>
                    </w:rPr>
                  </w:pPr>
                  <w:r w:rsidRPr="00E30BEA">
                    <w:rPr>
                      <w:rFonts w:ascii="Times New Roman" w:eastAsia="Aptos" w:hAnsi="Times New Roman"/>
                      <w:color w:val="000000" w:themeColor="text1"/>
                      <w:sz w:val="24"/>
                      <w:szCs w:val="24"/>
                      <w:lang w:val="fr-BE"/>
                    </w:rPr>
                    <w:t>Panaudota lėšų</w:t>
                  </w:r>
                </w:p>
              </w:tc>
              <w:tc>
                <w:tcPr>
                  <w:tcW w:w="916" w:type="dxa"/>
                  <w:tcBorders>
                    <w:top w:val="single" w:sz="4" w:space="0" w:color="auto"/>
                    <w:left w:val="single" w:sz="4" w:space="0" w:color="auto"/>
                    <w:bottom w:val="single" w:sz="4" w:space="0" w:color="auto"/>
                    <w:right w:val="single" w:sz="4" w:space="0" w:color="auto"/>
                  </w:tcBorders>
                  <w:hideMark/>
                </w:tcPr>
                <w:p w14:paraId="3B29F27F" w14:textId="77777777" w:rsidR="00337540" w:rsidRPr="00E30BEA" w:rsidRDefault="00337540" w:rsidP="00EA08B9">
                  <w:pPr>
                    <w:jc w:val="both"/>
                    <w:rPr>
                      <w:rFonts w:ascii="Times New Roman" w:eastAsia="Aptos" w:hAnsi="Times New Roman"/>
                      <w:color w:val="000000" w:themeColor="text1"/>
                      <w:sz w:val="24"/>
                      <w:szCs w:val="24"/>
                      <w:lang w:val="fr-BE"/>
                    </w:rPr>
                  </w:pPr>
                  <w:r w:rsidRPr="00E30BEA">
                    <w:rPr>
                      <w:rFonts w:ascii="Times New Roman" w:eastAsia="Aptos" w:hAnsi="Times New Roman"/>
                      <w:color w:val="000000" w:themeColor="text1"/>
                      <w:sz w:val="24"/>
                      <w:szCs w:val="24"/>
                      <w:lang w:val="fr-BE"/>
                    </w:rPr>
                    <w:t>Įvykdymas (%)</w:t>
                  </w: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5348BDAA" w14:textId="77777777" w:rsidR="00337540" w:rsidRPr="00E30BEA" w:rsidRDefault="00337540" w:rsidP="00EA08B9">
                  <w:pPr>
                    <w:rPr>
                      <w:rFonts w:ascii="Times New Roman" w:hAnsi="Times New Roman"/>
                      <w:color w:val="000000" w:themeColor="text1"/>
                      <w:sz w:val="24"/>
                      <w:szCs w:val="24"/>
                      <w:lang w:val="fr-BE"/>
                    </w:rPr>
                  </w:pPr>
                </w:p>
              </w:tc>
            </w:tr>
            <w:tr w:rsidR="00337540" w:rsidRPr="00B403C1" w14:paraId="2C290A9A" w14:textId="77777777" w:rsidTr="00EA08B9">
              <w:trPr>
                <w:trHeight w:val="953"/>
              </w:trPr>
              <w:tc>
                <w:tcPr>
                  <w:tcW w:w="1512" w:type="dxa"/>
                  <w:tcBorders>
                    <w:top w:val="single" w:sz="4" w:space="0" w:color="auto"/>
                    <w:left w:val="single" w:sz="4" w:space="0" w:color="auto"/>
                    <w:bottom w:val="single" w:sz="4" w:space="0" w:color="auto"/>
                    <w:right w:val="single" w:sz="4" w:space="0" w:color="auto"/>
                  </w:tcBorders>
                  <w:hideMark/>
                </w:tcPr>
                <w:p w14:paraId="4391450C" w14:textId="77777777" w:rsidR="00337540" w:rsidRPr="00E30BEA" w:rsidRDefault="00337540" w:rsidP="00EA08B9">
                  <w:pPr>
                    <w:jc w:val="both"/>
                    <w:rPr>
                      <w:rFonts w:ascii="Times New Roman" w:eastAsia="Aptos" w:hAnsi="Times New Roman"/>
                      <w:color w:val="000000" w:themeColor="text1"/>
                      <w:sz w:val="24"/>
                      <w:szCs w:val="24"/>
                      <w:lang w:val="fr-BE"/>
                    </w:rPr>
                  </w:pPr>
                  <w:r w:rsidRPr="00E30BEA">
                    <w:rPr>
                      <w:rFonts w:ascii="Times New Roman" w:eastAsia="Aptos" w:hAnsi="Times New Roman"/>
                      <w:color w:val="000000" w:themeColor="text1"/>
                      <w:sz w:val="24"/>
                      <w:szCs w:val="24"/>
                      <w:lang w:val="fr-BE"/>
                    </w:rPr>
                    <w:t>Savivaldybės biudžetas (SB)</w:t>
                  </w:r>
                </w:p>
              </w:tc>
              <w:tc>
                <w:tcPr>
                  <w:tcW w:w="914" w:type="dxa"/>
                  <w:tcBorders>
                    <w:top w:val="single" w:sz="4" w:space="0" w:color="auto"/>
                    <w:left w:val="single" w:sz="4" w:space="0" w:color="auto"/>
                    <w:bottom w:val="single" w:sz="4" w:space="0" w:color="auto"/>
                    <w:right w:val="single" w:sz="4" w:space="0" w:color="auto"/>
                  </w:tcBorders>
                  <w:hideMark/>
                </w:tcPr>
                <w:p w14:paraId="3712B0C1" w14:textId="77777777" w:rsidR="00337540" w:rsidRPr="00E30BEA" w:rsidRDefault="00337540" w:rsidP="00EA08B9">
                  <w:pPr>
                    <w:jc w:val="both"/>
                    <w:rPr>
                      <w:rFonts w:ascii="Times New Roman" w:eastAsia="Aptos" w:hAnsi="Times New Roman"/>
                      <w:color w:val="000000" w:themeColor="text1"/>
                      <w:sz w:val="24"/>
                      <w:szCs w:val="24"/>
                      <w:lang w:val="fr-BE"/>
                    </w:rPr>
                  </w:pPr>
                  <w:r w:rsidRPr="00E30BEA">
                    <w:rPr>
                      <w:rFonts w:ascii="Times New Roman" w:eastAsia="Aptos" w:hAnsi="Times New Roman"/>
                      <w:color w:val="000000" w:themeColor="text1"/>
                      <w:sz w:val="24"/>
                      <w:szCs w:val="24"/>
                      <w:lang w:val="fr-BE"/>
                    </w:rPr>
                    <w:t>410,0</w:t>
                  </w:r>
                </w:p>
              </w:tc>
              <w:tc>
                <w:tcPr>
                  <w:tcW w:w="993" w:type="dxa"/>
                  <w:tcBorders>
                    <w:top w:val="single" w:sz="4" w:space="0" w:color="auto"/>
                    <w:left w:val="single" w:sz="4" w:space="0" w:color="auto"/>
                    <w:bottom w:val="single" w:sz="4" w:space="0" w:color="auto"/>
                    <w:right w:val="single" w:sz="4" w:space="0" w:color="auto"/>
                  </w:tcBorders>
                  <w:hideMark/>
                </w:tcPr>
                <w:p w14:paraId="6313BC52" w14:textId="77777777" w:rsidR="00337540" w:rsidRPr="00E30BEA" w:rsidRDefault="00337540" w:rsidP="00EA08B9">
                  <w:pPr>
                    <w:jc w:val="both"/>
                    <w:rPr>
                      <w:rFonts w:ascii="Times New Roman" w:eastAsia="Aptos" w:hAnsi="Times New Roman"/>
                      <w:color w:val="000000" w:themeColor="text1"/>
                      <w:sz w:val="24"/>
                      <w:szCs w:val="24"/>
                      <w:lang w:val="fr-BE"/>
                    </w:rPr>
                  </w:pPr>
                  <w:r w:rsidRPr="00E30BEA">
                    <w:rPr>
                      <w:rFonts w:ascii="Times New Roman" w:eastAsia="Aptos" w:hAnsi="Times New Roman"/>
                      <w:color w:val="000000" w:themeColor="text1"/>
                      <w:sz w:val="24"/>
                      <w:szCs w:val="24"/>
                      <w:lang w:val="fr-BE"/>
                    </w:rPr>
                    <w:t>408,7</w:t>
                  </w:r>
                </w:p>
              </w:tc>
              <w:tc>
                <w:tcPr>
                  <w:tcW w:w="916" w:type="dxa"/>
                  <w:tcBorders>
                    <w:top w:val="single" w:sz="4" w:space="0" w:color="auto"/>
                    <w:left w:val="single" w:sz="4" w:space="0" w:color="auto"/>
                    <w:bottom w:val="single" w:sz="4" w:space="0" w:color="auto"/>
                    <w:right w:val="single" w:sz="4" w:space="0" w:color="auto"/>
                  </w:tcBorders>
                  <w:hideMark/>
                </w:tcPr>
                <w:p w14:paraId="072C7853" w14:textId="77777777" w:rsidR="00337540" w:rsidRPr="00E30BEA" w:rsidRDefault="00337540" w:rsidP="00EA08B9">
                  <w:pPr>
                    <w:jc w:val="both"/>
                    <w:rPr>
                      <w:rFonts w:ascii="Times New Roman" w:eastAsia="Aptos" w:hAnsi="Times New Roman"/>
                      <w:color w:val="000000" w:themeColor="text1"/>
                      <w:sz w:val="24"/>
                      <w:szCs w:val="24"/>
                      <w:lang w:val="fr-BE"/>
                    </w:rPr>
                  </w:pPr>
                  <w:r w:rsidRPr="00E30BEA">
                    <w:rPr>
                      <w:rFonts w:ascii="Times New Roman" w:eastAsia="Aptos" w:hAnsi="Times New Roman"/>
                      <w:color w:val="000000" w:themeColor="text1"/>
                      <w:sz w:val="24"/>
                      <w:szCs w:val="24"/>
                      <w:lang w:val="fr-BE"/>
                    </w:rPr>
                    <w:t>99,7</w:t>
                  </w:r>
                </w:p>
              </w:tc>
              <w:tc>
                <w:tcPr>
                  <w:tcW w:w="5244" w:type="dxa"/>
                  <w:tcBorders>
                    <w:top w:val="single" w:sz="4" w:space="0" w:color="auto"/>
                    <w:left w:val="single" w:sz="4" w:space="0" w:color="auto"/>
                    <w:bottom w:val="single" w:sz="4" w:space="0" w:color="auto"/>
                    <w:right w:val="single" w:sz="4" w:space="0" w:color="auto"/>
                  </w:tcBorders>
                  <w:hideMark/>
                </w:tcPr>
                <w:p w14:paraId="5010B628" w14:textId="77777777" w:rsidR="00337540" w:rsidRPr="00E30BEA" w:rsidRDefault="00337540" w:rsidP="00EA08B9">
                  <w:pPr>
                    <w:jc w:val="both"/>
                    <w:rPr>
                      <w:rFonts w:ascii="Times New Roman" w:eastAsia="Aptos" w:hAnsi="Times New Roman"/>
                      <w:color w:val="000000" w:themeColor="text1"/>
                      <w:sz w:val="24"/>
                      <w:szCs w:val="24"/>
                      <w:lang w:val="fr-BE"/>
                    </w:rPr>
                  </w:pPr>
                  <w:r w:rsidRPr="00E30BEA">
                    <w:rPr>
                      <w:rFonts w:ascii="Times New Roman" w:eastAsia="Aptos" w:hAnsi="Times New Roman"/>
                      <w:color w:val="000000" w:themeColor="text1"/>
                      <w:sz w:val="24"/>
                      <w:szCs w:val="24"/>
                      <w:lang w:val="fr-BE"/>
                    </w:rPr>
                    <w:t>Dėl darbuotojų nedarbingumo buvo sutaupytos darbdavio lėšos, liko nepanaudotų nemokamo maitinimo gamybos išlaidų padengimo lėšų</w:t>
                  </w:r>
                </w:p>
              </w:tc>
            </w:tr>
            <w:tr w:rsidR="00337540" w:rsidRPr="00650DD4" w14:paraId="473DF13A" w14:textId="77777777" w:rsidTr="00EA08B9">
              <w:tc>
                <w:tcPr>
                  <w:tcW w:w="1512" w:type="dxa"/>
                  <w:tcBorders>
                    <w:top w:val="single" w:sz="4" w:space="0" w:color="auto"/>
                    <w:left w:val="single" w:sz="4" w:space="0" w:color="auto"/>
                    <w:bottom w:val="single" w:sz="4" w:space="0" w:color="auto"/>
                    <w:right w:val="single" w:sz="4" w:space="0" w:color="auto"/>
                  </w:tcBorders>
                  <w:hideMark/>
                </w:tcPr>
                <w:p w14:paraId="3D888944" w14:textId="77777777" w:rsidR="00337540" w:rsidRPr="00E30BEA" w:rsidRDefault="00337540" w:rsidP="00EA08B9">
                  <w:pPr>
                    <w:jc w:val="both"/>
                    <w:rPr>
                      <w:rFonts w:ascii="Times New Roman" w:eastAsia="Aptos" w:hAnsi="Times New Roman"/>
                      <w:color w:val="000000" w:themeColor="text1"/>
                      <w:sz w:val="24"/>
                      <w:szCs w:val="24"/>
                    </w:rPr>
                  </w:pPr>
                  <w:r w:rsidRPr="00E30BEA">
                    <w:rPr>
                      <w:rFonts w:ascii="Times New Roman" w:eastAsia="Aptos" w:hAnsi="Times New Roman"/>
                      <w:color w:val="000000" w:themeColor="text1"/>
                      <w:sz w:val="24"/>
                      <w:szCs w:val="24"/>
                    </w:rPr>
                    <w:t>Specialioji tikslinė dotacija (VB)</w:t>
                  </w:r>
                </w:p>
              </w:tc>
              <w:tc>
                <w:tcPr>
                  <w:tcW w:w="914" w:type="dxa"/>
                  <w:tcBorders>
                    <w:top w:val="single" w:sz="4" w:space="0" w:color="auto"/>
                    <w:left w:val="single" w:sz="4" w:space="0" w:color="auto"/>
                    <w:bottom w:val="single" w:sz="4" w:space="0" w:color="auto"/>
                    <w:right w:val="single" w:sz="4" w:space="0" w:color="auto"/>
                  </w:tcBorders>
                  <w:hideMark/>
                </w:tcPr>
                <w:p w14:paraId="3A06CEF2" w14:textId="77777777" w:rsidR="00337540" w:rsidRPr="00E30BEA" w:rsidRDefault="00337540" w:rsidP="00EA08B9">
                  <w:pPr>
                    <w:jc w:val="both"/>
                    <w:rPr>
                      <w:rFonts w:ascii="Times New Roman" w:eastAsia="Aptos" w:hAnsi="Times New Roman"/>
                      <w:color w:val="000000" w:themeColor="text1"/>
                      <w:sz w:val="24"/>
                      <w:szCs w:val="24"/>
                    </w:rPr>
                  </w:pPr>
                  <w:r w:rsidRPr="00E30BEA">
                    <w:rPr>
                      <w:rFonts w:ascii="Times New Roman" w:eastAsia="Aptos" w:hAnsi="Times New Roman"/>
                      <w:color w:val="000000" w:themeColor="text1"/>
                      <w:sz w:val="24"/>
                      <w:szCs w:val="24"/>
                    </w:rPr>
                    <w:t>1450,1</w:t>
                  </w:r>
                </w:p>
              </w:tc>
              <w:tc>
                <w:tcPr>
                  <w:tcW w:w="993" w:type="dxa"/>
                  <w:tcBorders>
                    <w:top w:val="single" w:sz="4" w:space="0" w:color="auto"/>
                    <w:left w:val="single" w:sz="4" w:space="0" w:color="auto"/>
                    <w:bottom w:val="single" w:sz="4" w:space="0" w:color="auto"/>
                    <w:right w:val="single" w:sz="4" w:space="0" w:color="auto"/>
                  </w:tcBorders>
                  <w:hideMark/>
                </w:tcPr>
                <w:p w14:paraId="323DDA34" w14:textId="77777777" w:rsidR="00337540" w:rsidRPr="00E30BEA" w:rsidRDefault="00337540" w:rsidP="00EA08B9">
                  <w:pPr>
                    <w:jc w:val="both"/>
                    <w:rPr>
                      <w:rFonts w:ascii="Times New Roman" w:eastAsia="Aptos" w:hAnsi="Times New Roman"/>
                      <w:color w:val="000000" w:themeColor="text1"/>
                      <w:sz w:val="24"/>
                      <w:szCs w:val="24"/>
                    </w:rPr>
                  </w:pPr>
                  <w:r w:rsidRPr="00E30BEA">
                    <w:rPr>
                      <w:rFonts w:ascii="Times New Roman" w:eastAsia="Aptos" w:hAnsi="Times New Roman"/>
                      <w:color w:val="000000" w:themeColor="text1"/>
                      <w:sz w:val="24"/>
                      <w:szCs w:val="24"/>
                    </w:rPr>
                    <w:t>1445,2</w:t>
                  </w:r>
                </w:p>
              </w:tc>
              <w:tc>
                <w:tcPr>
                  <w:tcW w:w="916" w:type="dxa"/>
                  <w:tcBorders>
                    <w:top w:val="single" w:sz="4" w:space="0" w:color="auto"/>
                    <w:left w:val="single" w:sz="4" w:space="0" w:color="auto"/>
                    <w:bottom w:val="single" w:sz="4" w:space="0" w:color="auto"/>
                    <w:right w:val="single" w:sz="4" w:space="0" w:color="auto"/>
                  </w:tcBorders>
                  <w:hideMark/>
                </w:tcPr>
                <w:p w14:paraId="09E8D0E4" w14:textId="77777777" w:rsidR="00337540" w:rsidRPr="00E30BEA" w:rsidRDefault="00337540" w:rsidP="00EA08B9">
                  <w:pPr>
                    <w:jc w:val="both"/>
                    <w:rPr>
                      <w:rFonts w:ascii="Times New Roman" w:eastAsia="Aptos" w:hAnsi="Times New Roman"/>
                      <w:color w:val="000000" w:themeColor="text1"/>
                      <w:sz w:val="24"/>
                      <w:szCs w:val="24"/>
                    </w:rPr>
                  </w:pPr>
                  <w:r w:rsidRPr="00E30BEA">
                    <w:rPr>
                      <w:rFonts w:ascii="Times New Roman" w:eastAsia="Aptos" w:hAnsi="Times New Roman"/>
                      <w:color w:val="000000" w:themeColor="text1"/>
                      <w:sz w:val="24"/>
                      <w:szCs w:val="24"/>
                    </w:rPr>
                    <w:t>99,7</w:t>
                  </w:r>
                </w:p>
              </w:tc>
              <w:tc>
                <w:tcPr>
                  <w:tcW w:w="5244" w:type="dxa"/>
                  <w:tcBorders>
                    <w:top w:val="single" w:sz="4" w:space="0" w:color="auto"/>
                    <w:left w:val="single" w:sz="4" w:space="0" w:color="auto"/>
                    <w:bottom w:val="single" w:sz="4" w:space="0" w:color="auto"/>
                    <w:right w:val="single" w:sz="4" w:space="0" w:color="auto"/>
                  </w:tcBorders>
                  <w:hideMark/>
                </w:tcPr>
                <w:p w14:paraId="43A25FB1" w14:textId="77777777" w:rsidR="00337540" w:rsidRPr="00E30BEA" w:rsidRDefault="00337540" w:rsidP="00EA08B9">
                  <w:pPr>
                    <w:jc w:val="both"/>
                    <w:rPr>
                      <w:rFonts w:ascii="Times New Roman" w:eastAsia="Aptos" w:hAnsi="Times New Roman"/>
                      <w:color w:val="000000" w:themeColor="text1"/>
                      <w:sz w:val="24"/>
                      <w:szCs w:val="24"/>
                    </w:rPr>
                  </w:pPr>
                  <w:r w:rsidRPr="00E30BEA">
                    <w:rPr>
                      <w:rFonts w:ascii="Times New Roman" w:eastAsia="Aptos" w:hAnsi="Times New Roman"/>
                      <w:color w:val="000000" w:themeColor="text1"/>
                      <w:sz w:val="24"/>
                      <w:szCs w:val="24"/>
                    </w:rPr>
                    <w:t>Dėl darbuotojų nedarbingumo buvo sutaupytos darbdavio lėšos, liko nepanaudotų nemokamo maitinimo gamybos išlaidų padengimo lėšų bei ukrainiečių mokinių ugdymui skirtų lėšų</w:t>
                  </w:r>
                </w:p>
              </w:tc>
            </w:tr>
            <w:tr w:rsidR="00337540" w:rsidRPr="00650DD4" w14:paraId="7E5C93CC" w14:textId="77777777" w:rsidTr="00EA08B9">
              <w:trPr>
                <w:trHeight w:val="1319"/>
              </w:trPr>
              <w:tc>
                <w:tcPr>
                  <w:tcW w:w="1512" w:type="dxa"/>
                  <w:tcBorders>
                    <w:top w:val="single" w:sz="4" w:space="0" w:color="auto"/>
                    <w:left w:val="single" w:sz="4" w:space="0" w:color="auto"/>
                    <w:bottom w:val="single" w:sz="4" w:space="0" w:color="auto"/>
                    <w:right w:val="single" w:sz="4" w:space="0" w:color="auto"/>
                  </w:tcBorders>
                  <w:hideMark/>
                </w:tcPr>
                <w:p w14:paraId="2E5C1570" w14:textId="77777777" w:rsidR="00337540" w:rsidRPr="00E30BEA" w:rsidRDefault="00337540" w:rsidP="00EA08B9">
                  <w:pPr>
                    <w:jc w:val="both"/>
                    <w:rPr>
                      <w:rFonts w:ascii="Times New Roman" w:eastAsia="Aptos" w:hAnsi="Times New Roman"/>
                      <w:color w:val="000000" w:themeColor="text1"/>
                      <w:sz w:val="24"/>
                      <w:szCs w:val="24"/>
                    </w:rPr>
                  </w:pPr>
                  <w:r w:rsidRPr="00E30BEA">
                    <w:rPr>
                      <w:rFonts w:ascii="Times New Roman" w:eastAsia="Aptos" w:hAnsi="Times New Roman"/>
                      <w:color w:val="000000" w:themeColor="text1"/>
                      <w:sz w:val="24"/>
                      <w:szCs w:val="24"/>
                    </w:rPr>
                    <w:t>Įstaigos gautos pajamos (surinkta pajamų SP), iš jų:</w:t>
                  </w:r>
                </w:p>
              </w:tc>
              <w:tc>
                <w:tcPr>
                  <w:tcW w:w="914" w:type="dxa"/>
                  <w:tcBorders>
                    <w:top w:val="single" w:sz="4" w:space="0" w:color="auto"/>
                    <w:left w:val="single" w:sz="4" w:space="0" w:color="auto"/>
                    <w:bottom w:val="single" w:sz="4" w:space="0" w:color="auto"/>
                    <w:right w:val="single" w:sz="4" w:space="0" w:color="auto"/>
                  </w:tcBorders>
                  <w:hideMark/>
                </w:tcPr>
                <w:p w14:paraId="1DAF3B96" w14:textId="77777777" w:rsidR="00337540" w:rsidRPr="00E30BEA" w:rsidRDefault="00337540" w:rsidP="00EA08B9">
                  <w:pPr>
                    <w:jc w:val="both"/>
                    <w:rPr>
                      <w:rFonts w:ascii="Times New Roman" w:eastAsia="Aptos" w:hAnsi="Times New Roman"/>
                      <w:color w:val="000000" w:themeColor="text1"/>
                      <w:sz w:val="24"/>
                      <w:szCs w:val="24"/>
                    </w:rPr>
                  </w:pPr>
                  <w:r w:rsidRPr="00E30BEA">
                    <w:rPr>
                      <w:rFonts w:ascii="Times New Roman" w:eastAsia="Aptos" w:hAnsi="Times New Roman"/>
                      <w:color w:val="000000" w:themeColor="text1"/>
                      <w:sz w:val="24"/>
                      <w:szCs w:val="24"/>
                    </w:rPr>
                    <w:t>20,5</w:t>
                  </w:r>
                </w:p>
              </w:tc>
              <w:tc>
                <w:tcPr>
                  <w:tcW w:w="993" w:type="dxa"/>
                  <w:tcBorders>
                    <w:top w:val="single" w:sz="4" w:space="0" w:color="auto"/>
                    <w:left w:val="single" w:sz="4" w:space="0" w:color="auto"/>
                    <w:bottom w:val="single" w:sz="4" w:space="0" w:color="auto"/>
                    <w:right w:val="single" w:sz="4" w:space="0" w:color="auto"/>
                  </w:tcBorders>
                  <w:hideMark/>
                </w:tcPr>
                <w:p w14:paraId="668DB16C" w14:textId="77777777" w:rsidR="00337540" w:rsidRPr="00E30BEA" w:rsidRDefault="00337540" w:rsidP="00EA08B9">
                  <w:pPr>
                    <w:jc w:val="both"/>
                    <w:rPr>
                      <w:rFonts w:ascii="Times New Roman" w:eastAsia="Aptos" w:hAnsi="Times New Roman"/>
                      <w:color w:val="000000" w:themeColor="text1"/>
                      <w:sz w:val="24"/>
                      <w:szCs w:val="24"/>
                    </w:rPr>
                  </w:pPr>
                  <w:r w:rsidRPr="00E30BEA">
                    <w:rPr>
                      <w:rFonts w:ascii="Times New Roman" w:eastAsia="Aptos" w:hAnsi="Times New Roman"/>
                      <w:color w:val="000000" w:themeColor="text1"/>
                      <w:sz w:val="24"/>
                      <w:szCs w:val="24"/>
                    </w:rPr>
                    <w:t>14,3</w:t>
                  </w:r>
                </w:p>
              </w:tc>
              <w:tc>
                <w:tcPr>
                  <w:tcW w:w="916" w:type="dxa"/>
                  <w:tcBorders>
                    <w:top w:val="single" w:sz="4" w:space="0" w:color="auto"/>
                    <w:left w:val="single" w:sz="4" w:space="0" w:color="auto"/>
                    <w:bottom w:val="single" w:sz="4" w:space="0" w:color="auto"/>
                    <w:right w:val="single" w:sz="4" w:space="0" w:color="auto"/>
                  </w:tcBorders>
                  <w:hideMark/>
                </w:tcPr>
                <w:p w14:paraId="64DC6475" w14:textId="77777777" w:rsidR="00337540" w:rsidRPr="00E30BEA" w:rsidRDefault="00337540" w:rsidP="00EA08B9">
                  <w:pPr>
                    <w:jc w:val="both"/>
                    <w:rPr>
                      <w:rFonts w:ascii="Times New Roman" w:eastAsia="Aptos" w:hAnsi="Times New Roman"/>
                      <w:color w:val="000000" w:themeColor="text1"/>
                      <w:sz w:val="24"/>
                      <w:szCs w:val="24"/>
                    </w:rPr>
                  </w:pPr>
                  <w:r w:rsidRPr="00E30BEA">
                    <w:rPr>
                      <w:rFonts w:ascii="Times New Roman" w:eastAsia="Aptos" w:hAnsi="Times New Roman"/>
                      <w:color w:val="000000" w:themeColor="text1"/>
                      <w:sz w:val="24"/>
                      <w:szCs w:val="24"/>
                    </w:rPr>
                    <w:t>69,7</w:t>
                  </w:r>
                </w:p>
              </w:tc>
              <w:tc>
                <w:tcPr>
                  <w:tcW w:w="5244" w:type="dxa"/>
                  <w:tcBorders>
                    <w:top w:val="single" w:sz="4" w:space="0" w:color="auto"/>
                    <w:left w:val="single" w:sz="4" w:space="0" w:color="auto"/>
                    <w:bottom w:val="single" w:sz="4" w:space="0" w:color="auto"/>
                    <w:right w:val="single" w:sz="4" w:space="0" w:color="auto"/>
                  </w:tcBorders>
                  <w:hideMark/>
                </w:tcPr>
                <w:p w14:paraId="7606CFBE" w14:textId="77777777" w:rsidR="00337540" w:rsidRPr="00E30BEA" w:rsidRDefault="00337540" w:rsidP="00EA08B9">
                  <w:pPr>
                    <w:jc w:val="both"/>
                    <w:rPr>
                      <w:rFonts w:ascii="Times New Roman" w:eastAsia="Aptos" w:hAnsi="Times New Roman"/>
                      <w:color w:val="000000" w:themeColor="text1"/>
                      <w:sz w:val="24"/>
                      <w:szCs w:val="24"/>
                    </w:rPr>
                  </w:pPr>
                  <w:r w:rsidRPr="00E30BEA">
                    <w:rPr>
                      <w:rFonts w:ascii="Times New Roman" w:eastAsia="Aptos" w:hAnsi="Times New Roman"/>
                      <w:color w:val="000000" w:themeColor="text1"/>
                      <w:sz w:val="24"/>
                      <w:szCs w:val="24"/>
                    </w:rPr>
                    <w:t>Planas neįvykdytas dėl pasikeitusių materialiojo turto nuomos įkainių</w:t>
                  </w:r>
                </w:p>
              </w:tc>
            </w:tr>
            <w:tr w:rsidR="00337540" w:rsidRPr="00E30BEA" w14:paraId="6535024A" w14:textId="77777777" w:rsidTr="00EA08B9">
              <w:trPr>
                <w:trHeight w:val="477"/>
              </w:trPr>
              <w:tc>
                <w:tcPr>
                  <w:tcW w:w="1512" w:type="dxa"/>
                  <w:tcBorders>
                    <w:top w:val="single" w:sz="4" w:space="0" w:color="auto"/>
                    <w:left w:val="single" w:sz="4" w:space="0" w:color="auto"/>
                    <w:bottom w:val="single" w:sz="4" w:space="0" w:color="auto"/>
                    <w:right w:val="single" w:sz="4" w:space="0" w:color="auto"/>
                  </w:tcBorders>
                  <w:hideMark/>
                </w:tcPr>
                <w:p w14:paraId="409EE8FA" w14:textId="77777777" w:rsidR="00337540" w:rsidRPr="00E30BEA" w:rsidRDefault="00337540" w:rsidP="00EA08B9">
                  <w:pPr>
                    <w:jc w:val="both"/>
                    <w:rPr>
                      <w:rFonts w:ascii="Times New Roman" w:eastAsia="Aptos" w:hAnsi="Times New Roman"/>
                      <w:color w:val="000000" w:themeColor="text1"/>
                      <w:sz w:val="24"/>
                      <w:szCs w:val="24"/>
                    </w:rPr>
                  </w:pPr>
                  <w:r w:rsidRPr="00E30BEA">
                    <w:rPr>
                      <w:rFonts w:ascii="Times New Roman" w:eastAsia="Aptos" w:hAnsi="Times New Roman"/>
                      <w:color w:val="000000" w:themeColor="text1"/>
                      <w:sz w:val="24"/>
                      <w:szCs w:val="24"/>
                    </w:rPr>
                    <w:t>Pajamų išlaidos (SP)</w:t>
                  </w:r>
                </w:p>
              </w:tc>
              <w:tc>
                <w:tcPr>
                  <w:tcW w:w="914" w:type="dxa"/>
                  <w:tcBorders>
                    <w:top w:val="single" w:sz="4" w:space="0" w:color="auto"/>
                    <w:left w:val="single" w:sz="4" w:space="0" w:color="auto"/>
                    <w:bottom w:val="single" w:sz="4" w:space="0" w:color="auto"/>
                    <w:right w:val="single" w:sz="4" w:space="0" w:color="auto"/>
                  </w:tcBorders>
                  <w:hideMark/>
                </w:tcPr>
                <w:p w14:paraId="2B5CA001" w14:textId="77777777" w:rsidR="00337540" w:rsidRPr="00E30BEA" w:rsidRDefault="00337540" w:rsidP="00EA08B9">
                  <w:pPr>
                    <w:jc w:val="both"/>
                    <w:rPr>
                      <w:rFonts w:ascii="Times New Roman" w:eastAsia="Aptos" w:hAnsi="Times New Roman"/>
                      <w:color w:val="000000" w:themeColor="text1"/>
                      <w:sz w:val="24"/>
                      <w:szCs w:val="24"/>
                    </w:rPr>
                  </w:pPr>
                  <w:r w:rsidRPr="00E30BEA">
                    <w:rPr>
                      <w:rFonts w:ascii="Times New Roman" w:eastAsia="Aptos" w:hAnsi="Times New Roman"/>
                      <w:color w:val="000000" w:themeColor="text1"/>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1B731065" w14:textId="77777777" w:rsidR="00337540" w:rsidRPr="00E30BEA" w:rsidRDefault="00337540" w:rsidP="00EA08B9">
                  <w:pPr>
                    <w:jc w:val="both"/>
                    <w:rPr>
                      <w:rFonts w:ascii="Times New Roman" w:eastAsia="Aptos" w:hAnsi="Times New Roman"/>
                      <w:color w:val="000000" w:themeColor="text1"/>
                      <w:sz w:val="24"/>
                      <w:szCs w:val="24"/>
                    </w:rPr>
                  </w:pPr>
                  <w:r w:rsidRPr="00E30BEA">
                    <w:rPr>
                      <w:rFonts w:ascii="Times New Roman" w:eastAsia="Aptos" w:hAnsi="Times New Roman"/>
                      <w:color w:val="000000" w:themeColor="text1"/>
                      <w:sz w:val="24"/>
                      <w:szCs w:val="24"/>
                    </w:rPr>
                    <w:t>6,4</w:t>
                  </w:r>
                </w:p>
                <w:p w14:paraId="2848B7DA" w14:textId="77777777" w:rsidR="00337540" w:rsidRPr="00E30BEA" w:rsidRDefault="00337540" w:rsidP="00EA08B9">
                  <w:pPr>
                    <w:jc w:val="both"/>
                    <w:rPr>
                      <w:rFonts w:ascii="Times New Roman" w:eastAsia="Aptos" w:hAnsi="Times New Roman"/>
                      <w:color w:val="000000" w:themeColor="text1"/>
                      <w:sz w:val="24"/>
                      <w:szCs w:val="24"/>
                    </w:rPr>
                  </w:pPr>
                </w:p>
              </w:tc>
              <w:tc>
                <w:tcPr>
                  <w:tcW w:w="916" w:type="dxa"/>
                  <w:tcBorders>
                    <w:top w:val="single" w:sz="4" w:space="0" w:color="auto"/>
                    <w:left w:val="single" w:sz="4" w:space="0" w:color="auto"/>
                    <w:bottom w:val="single" w:sz="4" w:space="0" w:color="auto"/>
                    <w:right w:val="single" w:sz="4" w:space="0" w:color="auto"/>
                  </w:tcBorders>
                  <w:hideMark/>
                </w:tcPr>
                <w:p w14:paraId="08C1F2C7" w14:textId="77777777" w:rsidR="00337540" w:rsidRPr="00E30BEA" w:rsidRDefault="00337540" w:rsidP="00EA08B9">
                  <w:pPr>
                    <w:jc w:val="both"/>
                    <w:rPr>
                      <w:rFonts w:ascii="Times New Roman" w:eastAsia="Aptos" w:hAnsi="Times New Roman"/>
                      <w:color w:val="000000" w:themeColor="text1"/>
                      <w:sz w:val="24"/>
                      <w:szCs w:val="24"/>
                    </w:rPr>
                  </w:pPr>
                  <w:r w:rsidRPr="00E30BEA">
                    <w:rPr>
                      <w:rFonts w:ascii="Times New Roman" w:eastAsia="Aptos" w:hAnsi="Times New Roman"/>
                      <w:color w:val="000000" w:themeColor="text1"/>
                      <w:sz w:val="24"/>
                      <w:szCs w:val="24"/>
                    </w:rPr>
                    <w:t>99,9</w:t>
                  </w:r>
                </w:p>
              </w:tc>
              <w:tc>
                <w:tcPr>
                  <w:tcW w:w="5244" w:type="dxa"/>
                  <w:tcBorders>
                    <w:top w:val="single" w:sz="4" w:space="0" w:color="auto"/>
                    <w:left w:val="single" w:sz="4" w:space="0" w:color="auto"/>
                    <w:bottom w:val="single" w:sz="4" w:space="0" w:color="auto"/>
                    <w:right w:val="single" w:sz="4" w:space="0" w:color="auto"/>
                  </w:tcBorders>
                </w:tcPr>
                <w:p w14:paraId="138B61D6" w14:textId="77777777" w:rsidR="00337540" w:rsidRPr="00E30BEA" w:rsidRDefault="00337540" w:rsidP="00EA08B9">
                  <w:pPr>
                    <w:jc w:val="both"/>
                    <w:rPr>
                      <w:rFonts w:ascii="Times New Roman" w:eastAsia="Aptos" w:hAnsi="Times New Roman"/>
                      <w:color w:val="000000" w:themeColor="text1"/>
                      <w:sz w:val="24"/>
                      <w:szCs w:val="24"/>
                    </w:rPr>
                  </w:pPr>
                </w:p>
              </w:tc>
            </w:tr>
            <w:tr w:rsidR="00337540" w:rsidRPr="00E30BEA" w14:paraId="61FA7FDE" w14:textId="77777777" w:rsidTr="00EA08B9">
              <w:trPr>
                <w:trHeight w:val="125"/>
              </w:trPr>
              <w:tc>
                <w:tcPr>
                  <w:tcW w:w="1512" w:type="dxa"/>
                  <w:tcBorders>
                    <w:top w:val="single" w:sz="4" w:space="0" w:color="auto"/>
                    <w:left w:val="single" w:sz="4" w:space="0" w:color="auto"/>
                    <w:bottom w:val="single" w:sz="4" w:space="0" w:color="auto"/>
                    <w:right w:val="single" w:sz="4" w:space="0" w:color="auto"/>
                  </w:tcBorders>
                  <w:hideMark/>
                </w:tcPr>
                <w:p w14:paraId="3DA5CFE3" w14:textId="77777777" w:rsidR="00337540" w:rsidRPr="00337540" w:rsidRDefault="00337540" w:rsidP="00EA08B9">
                  <w:pPr>
                    <w:jc w:val="both"/>
                    <w:rPr>
                      <w:rFonts w:ascii="Times New Roman" w:eastAsia="Aptos" w:hAnsi="Times New Roman"/>
                      <w:color w:val="000000" w:themeColor="text1"/>
                      <w:sz w:val="24"/>
                      <w:szCs w:val="24"/>
                      <w:lang w:val="da-DK"/>
                    </w:rPr>
                  </w:pPr>
                  <w:r w:rsidRPr="00337540">
                    <w:rPr>
                      <w:rFonts w:ascii="Times New Roman" w:eastAsia="Aptos" w:hAnsi="Times New Roman"/>
                      <w:color w:val="000000" w:themeColor="text1"/>
                      <w:sz w:val="24"/>
                      <w:szCs w:val="24"/>
                      <w:lang w:val="da-DK"/>
                    </w:rPr>
                    <w:lastRenderedPageBreak/>
                    <w:t>Projektų finansavimas(ES;NŠA;VB;SB)</w:t>
                  </w:r>
                </w:p>
              </w:tc>
              <w:tc>
                <w:tcPr>
                  <w:tcW w:w="914" w:type="dxa"/>
                  <w:tcBorders>
                    <w:top w:val="single" w:sz="4" w:space="0" w:color="auto"/>
                    <w:left w:val="single" w:sz="4" w:space="0" w:color="auto"/>
                    <w:bottom w:val="single" w:sz="4" w:space="0" w:color="auto"/>
                    <w:right w:val="single" w:sz="4" w:space="0" w:color="auto"/>
                  </w:tcBorders>
                  <w:hideMark/>
                </w:tcPr>
                <w:p w14:paraId="1D250CBC" w14:textId="77777777" w:rsidR="00337540" w:rsidRPr="00E30BEA" w:rsidRDefault="00337540" w:rsidP="00EA08B9">
                  <w:pPr>
                    <w:jc w:val="both"/>
                    <w:rPr>
                      <w:rFonts w:ascii="Times New Roman" w:eastAsia="Aptos" w:hAnsi="Times New Roman"/>
                      <w:color w:val="000000" w:themeColor="text1"/>
                      <w:sz w:val="24"/>
                      <w:szCs w:val="24"/>
                    </w:rPr>
                  </w:pPr>
                  <w:r w:rsidRPr="00E30BEA">
                    <w:rPr>
                      <w:rFonts w:ascii="Times New Roman" w:eastAsia="Aptos" w:hAnsi="Times New Roman"/>
                      <w:color w:val="000000" w:themeColor="text1"/>
                      <w:sz w:val="24"/>
                      <w:szCs w:val="24"/>
                    </w:rPr>
                    <w:t>38,5</w:t>
                  </w:r>
                </w:p>
              </w:tc>
              <w:tc>
                <w:tcPr>
                  <w:tcW w:w="993" w:type="dxa"/>
                  <w:tcBorders>
                    <w:top w:val="single" w:sz="4" w:space="0" w:color="auto"/>
                    <w:left w:val="single" w:sz="4" w:space="0" w:color="auto"/>
                    <w:bottom w:val="single" w:sz="4" w:space="0" w:color="auto"/>
                    <w:right w:val="single" w:sz="4" w:space="0" w:color="auto"/>
                  </w:tcBorders>
                  <w:hideMark/>
                </w:tcPr>
                <w:p w14:paraId="316656E6" w14:textId="77777777" w:rsidR="00337540" w:rsidRPr="00E30BEA" w:rsidRDefault="00337540" w:rsidP="00EA08B9">
                  <w:pPr>
                    <w:jc w:val="both"/>
                    <w:rPr>
                      <w:rFonts w:ascii="Times New Roman" w:eastAsia="Aptos" w:hAnsi="Times New Roman"/>
                      <w:color w:val="000000" w:themeColor="text1"/>
                      <w:sz w:val="24"/>
                      <w:szCs w:val="24"/>
                    </w:rPr>
                  </w:pPr>
                  <w:r w:rsidRPr="00E30BEA">
                    <w:rPr>
                      <w:rFonts w:ascii="Times New Roman" w:eastAsia="Aptos" w:hAnsi="Times New Roman"/>
                      <w:color w:val="000000" w:themeColor="text1"/>
                      <w:sz w:val="24"/>
                      <w:szCs w:val="24"/>
                    </w:rPr>
                    <w:t>34,9</w:t>
                  </w:r>
                </w:p>
              </w:tc>
              <w:tc>
                <w:tcPr>
                  <w:tcW w:w="916" w:type="dxa"/>
                  <w:tcBorders>
                    <w:top w:val="single" w:sz="4" w:space="0" w:color="auto"/>
                    <w:left w:val="single" w:sz="4" w:space="0" w:color="auto"/>
                    <w:bottom w:val="single" w:sz="4" w:space="0" w:color="auto"/>
                    <w:right w:val="single" w:sz="4" w:space="0" w:color="auto"/>
                  </w:tcBorders>
                  <w:hideMark/>
                </w:tcPr>
                <w:p w14:paraId="3E207DC9" w14:textId="77777777" w:rsidR="00337540" w:rsidRPr="00E30BEA" w:rsidRDefault="00337540" w:rsidP="00EA08B9">
                  <w:pPr>
                    <w:jc w:val="both"/>
                    <w:rPr>
                      <w:rFonts w:ascii="Times New Roman" w:eastAsia="Aptos" w:hAnsi="Times New Roman"/>
                      <w:color w:val="000000" w:themeColor="text1"/>
                      <w:sz w:val="24"/>
                      <w:szCs w:val="24"/>
                    </w:rPr>
                  </w:pPr>
                  <w:r w:rsidRPr="00E30BEA">
                    <w:rPr>
                      <w:rFonts w:ascii="Times New Roman" w:eastAsia="Aptos" w:hAnsi="Times New Roman"/>
                      <w:color w:val="000000" w:themeColor="text1"/>
                      <w:sz w:val="24"/>
                      <w:szCs w:val="24"/>
                    </w:rPr>
                    <w:t>90,9</w:t>
                  </w:r>
                </w:p>
              </w:tc>
              <w:tc>
                <w:tcPr>
                  <w:tcW w:w="5244" w:type="dxa"/>
                  <w:tcBorders>
                    <w:top w:val="single" w:sz="4" w:space="0" w:color="auto"/>
                    <w:left w:val="single" w:sz="4" w:space="0" w:color="auto"/>
                    <w:bottom w:val="single" w:sz="4" w:space="0" w:color="auto"/>
                    <w:right w:val="single" w:sz="4" w:space="0" w:color="auto"/>
                  </w:tcBorders>
                  <w:hideMark/>
                </w:tcPr>
                <w:p w14:paraId="7F8665C0" w14:textId="77777777" w:rsidR="00337540" w:rsidRPr="00E30BEA" w:rsidRDefault="00337540" w:rsidP="00EA08B9">
                  <w:pPr>
                    <w:jc w:val="both"/>
                    <w:rPr>
                      <w:rFonts w:ascii="Times New Roman" w:eastAsia="Aptos" w:hAnsi="Times New Roman"/>
                      <w:color w:val="000000" w:themeColor="text1"/>
                      <w:sz w:val="24"/>
                      <w:szCs w:val="24"/>
                    </w:rPr>
                  </w:pPr>
                  <w:r w:rsidRPr="00E30BEA">
                    <w:rPr>
                      <w:rFonts w:ascii="Times New Roman" w:eastAsia="Aptos" w:hAnsi="Times New Roman"/>
                      <w:color w:val="000000" w:themeColor="text1"/>
                      <w:sz w:val="24"/>
                      <w:szCs w:val="24"/>
                    </w:rPr>
                    <w:t>Projektų veiklos bus vykdomos 2024m.</w:t>
                  </w:r>
                </w:p>
              </w:tc>
            </w:tr>
            <w:tr w:rsidR="00337540" w:rsidRPr="00B403C1" w14:paraId="19F06DC9" w14:textId="77777777" w:rsidTr="00EA08B9">
              <w:tc>
                <w:tcPr>
                  <w:tcW w:w="1512" w:type="dxa"/>
                  <w:tcBorders>
                    <w:top w:val="single" w:sz="4" w:space="0" w:color="auto"/>
                    <w:left w:val="single" w:sz="4" w:space="0" w:color="auto"/>
                    <w:bottom w:val="single" w:sz="4" w:space="0" w:color="auto"/>
                    <w:right w:val="single" w:sz="4" w:space="0" w:color="auto"/>
                  </w:tcBorders>
                  <w:hideMark/>
                </w:tcPr>
                <w:p w14:paraId="62085112" w14:textId="77777777" w:rsidR="00337540" w:rsidRPr="00E30BEA" w:rsidRDefault="00337540" w:rsidP="00EA08B9">
                  <w:pPr>
                    <w:jc w:val="both"/>
                    <w:rPr>
                      <w:rFonts w:ascii="Times New Roman" w:eastAsia="Aptos" w:hAnsi="Times New Roman"/>
                      <w:color w:val="000000" w:themeColor="text1"/>
                      <w:sz w:val="24"/>
                      <w:szCs w:val="24"/>
                    </w:rPr>
                  </w:pPr>
                  <w:r w:rsidRPr="00E30BEA">
                    <w:rPr>
                      <w:rFonts w:ascii="Times New Roman" w:eastAsia="Aptos" w:hAnsi="Times New Roman"/>
                      <w:color w:val="000000" w:themeColor="text1"/>
                      <w:sz w:val="24"/>
                      <w:szCs w:val="24"/>
                    </w:rPr>
                    <w:t>Kitos lėšos (parama ir kt.)</w:t>
                  </w:r>
                </w:p>
              </w:tc>
              <w:tc>
                <w:tcPr>
                  <w:tcW w:w="914" w:type="dxa"/>
                  <w:tcBorders>
                    <w:top w:val="single" w:sz="4" w:space="0" w:color="auto"/>
                    <w:left w:val="single" w:sz="4" w:space="0" w:color="auto"/>
                    <w:bottom w:val="single" w:sz="4" w:space="0" w:color="auto"/>
                    <w:right w:val="single" w:sz="4" w:space="0" w:color="auto"/>
                  </w:tcBorders>
                  <w:hideMark/>
                </w:tcPr>
                <w:p w14:paraId="741B0F2E" w14:textId="77777777" w:rsidR="00337540" w:rsidRPr="00E30BEA" w:rsidRDefault="00337540" w:rsidP="00EA08B9">
                  <w:pPr>
                    <w:jc w:val="both"/>
                    <w:rPr>
                      <w:rFonts w:ascii="Times New Roman" w:eastAsia="Aptos" w:hAnsi="Times New Roman"/>
                      <w:color w:val="000000" w:themeColor="text1"/>
                      <w:sz w:val="24"/>
                      <w:szCs w:val="24"/>
                    </w:rPr>
                  </w:pPr>
                  <w:r w:rsidRPr="00E30BEA">
                    <w:rPr>
                      <w:rFonts w:ascii="Times New Roman" w:eastAsia="Aptos" w:hAnsi="Times New Roman"/>
                      <w:color w:val="000000" w:themeColor="text1"/>
                      <w:sz w:val="24"/>
                      <w:szCs w:val="24"/>
                    </w:rPr>
                    <w:t>6,1</w:t>
                  </w:r>
                </w:p>
              </w:tc>
              <w:tc>
                <w:tcPr>
                  <w:tcW w:w="993" w:type="dxa"/>
                  <w:tcBorders>
                    <w:top w:val="single" w:sz="4" w:space="0" w:color="auto"/>
                    <w:left w:val="single" w:sz="4" w:space="0" w:color="auto"/>
                    <w:bottom w:val="single" w:sz="4" w:space="0" w:color="auto"/>
                    <w:right w:val="single" w:sz="4" w:space="0" w:color="auto"/>
                  </w:tcBorders>
                </w:tcPr>
                <w:p w14:paraId="4D224A47" w14:textId="77777777" w:rsidR="00337540" w:rsidRPr="00E30BEA" w:rsidRDefault="00337540" w:rsidP="00EA08B9">
                  <w:pPr>
                    <w:jc w:val="both"/>
                    <w:rPr>
                      <w:rFonts w:ascii="Times New Roman" w:eastAsia="Aptos" w:hAnsi="Times New Roman"/>
                      <w:color w:val="000000" w:themeColor="text1"/>
                      <w:sz w:val="24"/>
                      <w:szCs w:val="24"/>
                    </w:rPr>
                  </w:pPr>
                  <w:r w:rsidRPr="00E30BEA">
                    <w:rPr>
                      <w:rFonts w:ascii="Times New Roman" w:eastAsia="Aptos" w:hAnsi="Times New Roman"/>
                      <w:color w:val="000000" w:themeColor="text1"/>
                      <w:sz w:val="24"/>
                      <w:szCs w:val="24"/>
                    </w:rPr>
                    <w:t>1,2</w:t>
                  </w:r>
                </w:p>
                <w:p w14:paraId="3788554B" w14:textId="77777777" w:rsidR="00337540" w:rsidRPr="00E30BEA" w:rsidRDefault="00337540" w:rsidP="00EA08B9">
                  <w:pPr>
                    <w:jc w:val="both"/>
                    <w:rPr>
                      <w:rFonts w:ascii="Times New Roman" w:eastAsia="Aptos" w:hAnsi="Times New Roman"/>
                      <w:color w:val="000000" w:themeColor="text1"/>
                      <w:sz w:val="24"/>
                      <w:szCs w:val="24"/>
                    </w:rPr>
                  </w:pPr>
                </w:p>
              </w:tc>
              <w:tc>
                <w:tcPr>
                  <w:tcW w:w="916" w:type="dxa"/>
                  <w:tcBorders>
                    <w:top w:val="single" w:sz="4" w:space="0" w:color="auto"/>
                    <w:left w:val="single" w:sz="4" w:space="0" w:color="auto"/>
                    <w:bottom w:val="single" w:sz="4" w:space="0" w:color="auto"/>
                    <w:right w:val="single" w:sz="4" w:space="0" w:color="auto"/>
                  </w:tcBorders>
                  <w:hideMark/>
                </w:tcPr>
                <w:p w14:paraId="043CED60" w14:textId="77777777" w:rsidR="00337540" w:rsidRPr="00E30BEA" w:rsidRDefault="00337540" w:rsidP="00EA08B9">
                  <w:pPr>
                    <w:spacing w:line="256" w:lineRule="auto"/>
                    <w:rPr>
                      <w:rFonts w:ascii="Times New Roman" w:eastAsia="Aptos" w:hAnsi="Times New Roman"/>
                      <w:color w:val="000000" w:themeColor="text1"/>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14:paraId="306B2829" w14:textId="77777777" w:rsidR="00337540" w:rsidRPr="00E30BEA" w:rsidRDefault="00337540" w:rsidP="00EA08B9">
                  <w:pPr>
                    <w:jc w:val="both"/>
                    <w:rPr>
                      <w:rFonts w:ascii="Times New Roman" w:hAnsi="Times New Roman"/>
                      <w:color w:val="000000" w:themeColor="text1"/>
                      <w:sz w:val="24"/>
                      <w:szCs w:val="24"/>
                      <w:lang w:val="it-IT"/>
                    </w:rPr>
                  </w:pPr>
                  <w:r w:rsidRPr="00E30BEA">
                    <w:rPr>
                      <w:rFonts w:ascii="Times New Roman" w:eastAsia="Aptos" w:hAnsi="Times New Roman"/>
                      <w:color w:val="000000" w:themeColor="text1"/>
                      <w:sz w:val="24"/>
                      <w:szCs w:val="24"/>
                      <w:lang w:val="it-IT"/>
                    </w:rPr>
                    <w:t>Tariamasi su bendruomene dėl lėšų panaudojimo 2024 m.</w:t>
                  </w:r>
                </w:p>
              </w:tc>
            </w:tr>
            <w:tr w:rsidR="00337540" w:rsidRPr="00E30BEA" w14:paraId="5776FD2B" w14:textId="77777777" w:rsidTr="00EA08B9">
              <w:trPr>
                <w:trHeight w:val="510"/>
              </w:trPr>
              <w:tc>
                <w:tcPr>
                  <w:tcW w:w="1512" w:type="dxa"/>
                  <w:tcBorders>
                    <w:top w:val="single" w:sz="4" w:space="0" w:color="auto"/>
                    <w:left w:val="single" w:sz="4" w:space="0" w:color="auto"/>
                    <w:bottom w:val="single" w:sz="4" w:space="0" w:color="auto"/>
                    <w:right w:val="single" w:sz="4" w:space="0" w:color="auto"/>
                  </w:tcBorders>
                  <w:hideMark/>
                </w:tcPr>
                <w:p w14:paraId="37B07709" w14:textId="77777777" w:rsidR="00337540" w:rsidRPr="00E30BEA" w:rsidRDefault="00337540" w:rsidP="00EA08B9">
                  <w:pPr>
                    <w:jc w:val="both"/>
                    <w:rPr>
                      <w:rFonts w:ascii="Times New Roman" w:eastAsia="Aptos" w:hAnsi="Times New Roman"/>
                      <w:color w:val="000000" w:themeColor="text1"/>
                      <w:sz w:val="24"/>
                      <w:szCs w:val="24"/>
                    </w:rPr>
                  </w:pPr>
                  <w:r w:rsidRPr="00E30BEA">
                    <w:rPr>
                      <w:rFonts w:ascii="Times New Roman" w:eastAsia="Aptos" w:hAnsi="Times New Roman"/>
                      <w:color w:val="000000" w:themeColor="text1"/>
                      <w:sz w:val="24"/>
                      <w:szCs w:val="24"/>
                    </w:rPr>
                    <w:t>Iš viso</w:t>
                  </w:r>
                </w:p>
              </w:tc>
              <w:tc>
                <w:tcPr>
                  <w:tcW w:w="914" w:type="dxa"/>
                  <w:tcBorders>
                    <w:top w:val="single" w:sz="4" w:space="0" w:color="auto"/>
                    <w:left w:val="single" w:sz="4" w:space="0" w:color="auto"/>
                    <w:bottom w:val="single" w:sz="4" w:space="0" w:color="auto"/>
                    <w:right w:val="single" w:sz="4" w:space="0" w:color="auto"/>
                  </w:tcBorders>
                  <w:hideMark/>
                </w:tcPr>
                <w:p w14:paraId="07D364E5" w14:textId="77777777" w:rsidR="00337540" w:rsidRPr="00E30BEA" w:rsidRDefault="00337540" w:rsidP="00EA08B9">
                  <w:pPr>
                    <w:jc w:val="both"/>
                    <w:rPr>
                      <w:rFonts w:ascii="Times New Roman" w:eastAsia="Aptos" w:hAnsi="Times New Roman"/>
                      <w:color w:val="000000" w:themeColor="text1"/>
                      <w:sz w:val="24"/>
                      <w:szCs w:val="24"/>
                    </w:rPr>
                  </w:pPr>
                  <w:r w:rsidRPr="00E30BEA">
                    <w:rPr>
                      <w:rFonts w:ascii="Times New Roman" w:eastAsia="Aptos" w:hAnsi="Times New Roman"/>
                      <w:color w:val="000000" w:themeColor="text1"/>
                      <w:sz w:val="24"/>
                      <w:szCs w:val="24"/>
                    </w:rPr>
                    <w:t>1925,2</w:t>
                  </w:r>
                </w:p>
              </w:tc>
              <w:tc>
                <w:tcPr>
                  <w:tcW w:w="993" w:type="dxa"/>
                  <w:tcBorders>
                    <w:top w:val="single" w:sz="4" w:space="0" w:color="auto"/>
                    <w:left w:val="single" w:sz="4" w:space="0" w:color="auto"/>
                    <w:bottom w:val="single" w:sz="4" w:space="0" w:color="auto"/>
                    <w:right w:val="single" w:sz="4" w:space="0" w:color="auto"/>
                  </w:tcBorders>
                  <w:hideMark/>
                </w:tcPr>
                <w:p w14:paraId="53D269C0" w14:textId="77777777" w:rsidR="00337540" w:rsidRPr="00E30BEA" w:rsidRDefault="00337540" w:rsidP="00EA08B9">
                  <w:pPr>
                    <w:jc w:val="both"/>
                    <w:rPr>
                      <w:rFonts w:ascii="Times New Roman" w:eastAsia="Aptos" w:hAnsi="Times New Roman"/>
                      <w:color w:val="000000" w:themeColor="text1"/>
                      <w:sz w:val="24"/>
                      <w:szCs w:val="24"/>
                    </w:rPr>
                  </w:pPr>
                  <w:r w:rsidRPr="00E30BEA">
                    <w:rPr>
                      <w:rFonts w:ascii="Times New Roman" w:eastAsia="Aptos" w:hAnsi="Times New Roman"/>
                      <w:color w:val="000000" w:themeColor="text1"/>
                      <w:sz w:val="24"/>
                      <w:szCs w:val="24"/>
                    </w:rPr>
                    <w:t>1910,7</w:t>
                  </w:r>
                </w:p>
              </w:tc>
              <w:tc>
                <w:tcPr>
                  <w:tcW w:w="916" w:type="dxa"/>
                  <w:tcBorders>
                    <w:top w:val="single" w:sz="4" w:space="0" w:color="auto"/>
                    <w:left w:val="single" w:sz="4" w:space="0" w:color="auto"/>
                    <w:bottom w:val="single" w:sz="4" w:space="0" w:color="auto"/>
                    <w:right w:val="single" w:sz="4" w:space="0" w:color="auto"/>
                  </w:tcBorders>
                  <w:hideMark/>
                </w:tcPr>
                <w:p w14:paraId="4A2FCC4E" w14:textId="77777777" w:rsidR="00337540" w:rsidRPr="00E30BEA" w:rsidRDefault="00337540" w:rsidP="00EA08B9">
                  <w:pPr>
                    <w:jc w:val="both"/>
                    <w:rPr>
                      <w:rFonts w:ascii="Times New Roman" w:eastAsia="Aptos" w:hAnsi="Times New Roman"/>
                      <w:color w:val="000000" w:themeColor="text1"/>
                      <w:sz w:val="24"/>
                      <w:szCs w:val="24"/>
                    </w:rPr>
                  </w:pPr>
                  <w:r w:rsidRPr="00E30BEA">
                    <w:rPr>
                      <w:rFonts w:ascii="Times New Roman" w:eastAsia="Aptos" w:hAnsi="Times New Roman"/>
                      <w:color w:val="000000" w:themeColor="text1"/>
                      <w:sz w:val="24"/>
                      <w:szCs w:val="24"/>
                    </w:rPr>
                    <w:t>99,2</w:t>
                  </w:r>
                </w:p>
              </w:tc>
              <w:tc>
                <w:tcPr>
                  <w:tcW w:w="5244" w:type="dxa"/>
                  <w:tcBorders>
                    <w:top w:val="single" w:sz="4" w:space="0" w:color="auto"/>
                    <w:left w:val="single" w:sz="4" w:space="0" w:color="auto"/>
                    <w:bottom w:val="single" w:sz="4" w:space="0" w:color="auto"/>
                    <w:right w:val="single" w:sz="4" w:space="0" w:color="auto"/>
                  </w:tcBorders>
                </w:tcPr>
                <w:p w14:paraId="26BDB935" w14:textId="77777777" w:rsidR="00337540" w:rsidRPr="00E30BEA" w:rsidRDefault="00337540" w:rsidP="00EA08B9">
                  <w:pPr>
                    <w:jc w:val="both"/>
                    <w:rPr>
                      <w:rFonts w:ascii="Times New Roman" w:eastAsia="Aptos" w:hAnsi="Times New Roman"/>
                      <w:color w:val="000000" w:themeColor="text1"/>
                      <w:sz w:val="24"/>
                      <w:szCs w:val="24"/>
                    </w:rPr>
                  </w:pPr>
                </w:p>
              </w:tc>
            </w:tr>
            <w:tr w:rsidR="00337540" w:rsidRPr="00650DD4" w14:paraId="36043AE7" w14:textId="77777777" w:rsidTr="00EA08B9">
              <w:trPr>
                <w:trHeight w:val="20"/>
              </w:trPr>
              <w:tc>
                <w:tcPr>
                  <w:tcW w:w="3419" w:type="dxa"/>
                  <w:gridSpan w:val="3"/>
                  <w:tcBorders>
                    <w:top w:val="single" w:sz="4" w:space="0" w:color="auto"/>
                    <w:left w:val="single" w:sz="4" w:space="0" w:color="auto"/>
                    <w:bottom w:val="single" w:sz="4" w:space="0" w:color="auto"/>
                    <w:right w:val="single" w:sz="4" w:space="0" w:color="auto"/>
                  </w:tcBorders>
                  <w:hideMark/>
                </w:tcPr>
                <w:p w14:paraId="0ADB4F70" w14:textId="77777777" w:rsidR="00337540" w:rsidRPr="00E30BEA" w:rsidRDefault="00337540" w:rsidP="00EA08B9">
                  <w:pPr>
                    <w:jc w:val="both"/>
                    <w:rPr>
                      <w:rFonts w:ascii="Times New Roman" w:eastAsia="Aptos" w:hAnsi="Times New Roman"/>
                      <w:color w:val="000000" w:themeColor="text1"/>
                      <w:sz w:val="24"/>
                      <w:szCs w:val="24"/>
                    </w:rPr>
                  </w:pPr>
                  <w:r w:rsidRPr="00E30BEA">
                    <w:rPr>
                      <w:rFonts w:ascii="Times New Roman" w:eastAsia="Aptos" w:hAnsi="Times New Roman"/>
                      <w:color w:val="000000" w:themeColor="text1"/>
                      <w:sz w:val="24"/>
                      <w:szCs w:val="24"/>
                    </w:rPr>
                    <w:t xml:space="preserve">Kreditinis įsiskolinimas (pagal visus finansavimo šaltinius) 2023 m. sausio 1 d. </w:t>
                  </w:r>
                  <w:proofErr w:type="gramStart"/>
                  <w:r w:rsidRPr="00E30BEA">
                    <w:rPr>
                      <w:rFonts w:ascii="Times New Roman" w:eastAsia="Aptos" w:hAnsi="Times New Roman"/>
                      <w:color w:val="000000" w:themeColor="text1"/>
                      <w:sz w:val="24"/>
                      <w:szCs w:val="24"/>
                    </w:rPr>
                    <w:t>–  0</w:t>
                  </w:r>
                  <w:proofErr w:type="gramEnd"/>
                  <w:r w:rsidRPr="00E30BEA">
                    <w:rPr>
                      <w:rFonts w:ascii="Times New Roman" w:eastAsia="Aptos" w:hAnsi="Times New Roman"/>
                      <w:color w:val="000000" w:themeColor="text1"/>
                      <w:sz w:val="24"/>
                      <w:szCs w:val="24"/>
                    </w:rPr>
                    <w:t>,03 tūkst. Eur</w:t>
                  </w:r>
                </w:p>
              </w:tc>
              <w:tc>
                <w:tcPr>
                  <w:tcW w:w="916" w:type="dxa"/>
                  <w:tcBorders>
                    <w:top w:val="single" w:sz="4" w:space="0" w:color="auto"/>
                    <w:left w:val="single" w:sz="4" w:space="0" w:color="auto"/>
                    <w:bottom w:val="single" w:sz="4" w:space="0" w:color="auto"/>
                    <w:right w:val="single" w:sz="4" w:space="0" w:color="auto"/>
                  </w:tcBorders>
                </w:tcPr>
                <w:p w14:paraId="1A8335FC" w14:textId="77777777" w:rsidR="00337540" w:rsidRPr="00E30BEA" w:rsidRDefault="00337540" w:rsidP="00EA08B9">
                  <w:pPr>
                    <w:jc w:val="both"/>
                    <w:rPr>
                      <w:rFonts w:ascii="Times New Roman" w:eastAsia="Aptos" w:hAnsi="Times New Roman"/>
                      <w:color w:val="000000" w:themeColor="text1"/>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14:paraId="36BAC429" w14:textId="77777777" w:rsidR="00337540" w:rsidRPr="00E30BEA" w:rsidRDefault="00337540" w:rsidP="00EA08B9">
                  <w:pPr>
                    <w:jc w:val="both"/>
                    <w:rPr>
                      <w:rFonts w:ascii="Times New Roman" w:eastAsia="Aptos" w:hAnsi="Times New Roman"/>
                      <w:color w:val="000000" w:themeColor="text1"/>
                      <w:sz w:val="24"/>
                      <w:szCs w:val="24"/>
                    </w:rPr>
                  </w:pPr>
                  <w:r w:rsidRPr="00E30BEA">
                    <w:rPr>
                      <w:rFonts w:ascii="Times New Roman" w:eastAsia="Aptos" w:hAnsi="Times New Roman"/>
                      <w:color w:val="000000" w:themeColor="text1"/>
                      <w:sz w:val="24"/>
                      <w:szCs w:val="24"/>
                    </w:rPr>
                    <w:t>Sąskaita už 2023 m. gruodžio mėn. ryšio paslaugas buvo gauta 2024 m. sausio mėnesį</w:t>
                  </w:r>
                </w:p>
              </w:tc>
            </w:tr>
          </w:tbl>
          <w:p w14:paraId="5B5479DF" w14:textId="77777777" w:rsidR="00337540" w:rsidRPr="00E30BEA" w:rsidRDefault="00337540" w:rsidP="00EA08B9">
            <w:pPr>
              <w:ind w:firstLine="603"/>
              <w:jc w:val="both"/>
              <w:rPr>
                <w:rFonts w:ascii="Times New Roman" w:eastAsia="Aptos" w:hAnsi="Times New Roman"/>
                <w:color w:val="000000" w:themeColor="text1"/>
                <w:sz w:val="24"/>
                <w:szCs w:val="24"/>
              </w:rPr>
            </w:pPr>
          </w:p>
          <w:p w14:paraId="52D44491" w14:textId="77777777" w:rsidR="00337540" w:rsidRPr="00E30BEA" w:rsidRDefault="00337540" w:rsidP="00EA08B9">
            <w:pPr>
              <w:jc w:val="both"/>
              <w:rPr>
                <w:rFonts w:ascii="Times New Roman" w:eastAsia="Aptos" w:hAnsi="Times New Roman"/>
                <w:color w:val="000000" w:themeColor="text1"/>
                <w:sz w:val="24"/>
                <w:szCs w:val="24"/>
                <w:lang w:val="fr-BE"/>
              </w:rPr>
            </w:pPr>
            <w:r w:rsidRPr="00E30BEA">
              <w:rPr>
                <w:rFonts w:ascii="Times New Roman" w:eastAsia="Aptos" w:hAnsi="Times New Roman"/>
                <w:color w:val="000000" w:themeColor="text1"/>
                <w:sz w:val="24"/>
                <w:szCs w:val="24"/>
                <w:lang w:val="fr-BE"/>
              </w:rPr>
              <w:t xml:space="preserve">Klaipėdos miesto savivaldybės administracijos Švietimo skyrius Progimnazijoje 2023 m. stebėjo biologijos ir geografijos valstybinių brandos egzaminų vykdymą, vertino Progimnazijos ugdymo ir strateginį veiklos planą, analizavo </w:t>
            </w:r>
            <w:r w:rsidRPr="00E30BEA">
              <w:rPr>
                <w:rFonts w:ascii="Times New Roman" w:eastAsia="Aptos" w:hAnsi="Times New Roman"/>
                <w:color w:val="000000" w:themeColor="text1"/>
                <w:sz w:val="24"/>
                <w:szCs w:val="24"/>
              </w:rPr>
              <w:t xml:space="preserve">dorinio ugdymo pasirinkimo galimybių ir laikinųjų grupių sudarymą pradinėse klasėse, </w:t>
            </w:r>
            <w:r w:rsidRPr="00E30BEA">
              <w:rPr>
                <w:rFonts w:ascii="Times New Roman" w:eastAsia="Aptos" w:hAnsi="Times New Roman"/>
                <w:color w:val="000000" w:themeColor="text1"/>
                <w:sz w:val="24"/>
                <w:szCs w:val="24"/>
                <w:shd w:val="clear" w:color="auto" w:fill="FFFFFF"/>
                <w:lang w:val="fr-BE"/>
              </w:rPr>
              <w:t xml:space="preserve">Gargždų priešgaisrinė gelbėjimo tarnyba atliko planinį Progimnazijos pastato priešgaisrinės saugos patikrinimą. </w:t>
            </w:r>
            <w:r w:rsidRPr="00E30BEA">
              <w:rPr>
                <w:rFonts w:ascii="Times New Roman" w:eastAsia="Aptos" w:hAnsi="Times New Roman"/>
                <w:color w:val="000000" w:themeColor="text1"/>
                <w:sz w:val="24"/>
                <w:szCs w:val="24"/>
                <w:lang w:val="fr-BE"/>
              </w:rPr>
              <w:t>Pažeidimų nenustatyta.</w:t>
            </w:r>
          </w:p>
          <w:p w14:paraId="34573F60" w14:textId="77777777" w:rsidR="00337540" w:rsidRPr="00E30BEA" w:rsidRDefault="00337540" w:rsidP="00EA08B9">
            <w:pPr>
              <w:jc w:val="both"/>
              <w:rPr>
                <w:rFonts w:ascii="Times New Roman" w:eastAsia="Aptos" w:hAnsi="Times New Roman"/>
                <w:color w:val="000000" w:themeColor="text1"/>
                <w:sz w:val="24"/>
                <w:szCs w:val="24"/>
                <w:lang w:val="fr-BE"/>
              </w:rPr>
            </w:pPr>
            <w:r w:rsidRPr="00E30BEA">
              <w:rPr>
                <w:rFonts w:ascii="Times New Roman" w:eastAsia="Aptos" w:hAnsi="Times New Roman"/>
                <w:color w:val="000000" w:themeColor="text1"/>
                <w:sz w:val="24"/>
                <w:szCs w:val="24"/>
                <w:lang w:val="fr-BE"/>
              </w:rPr>
              <w:t xml:space="preserve">Progimnazijoje dar lieka neišspręstų problemų, atsiradusių dėl vidaus ir išorės faktorių: dalies mokinių žema mokymosi motyvacija, nepakankamas Progimnazijos erdvių pritaikymas organizuojant įtraukųjį ugdymą, dalies mokinių tėvų nepakankamas bendradarbiavimas su Progimnazijos pedagogais ir administracija sprendžiant mokinių mokymo(si) ir elgesio problemas, šiuolaikinių ugdymo priemonių ir vadovėlių trūkumas dirbant su atnaujintomis ugdymo programomis, nusidėvėjusi sporto salė, elektros instaliacija, vandentiekio, kanalizacijos vamzdynai, kuriuos reikia atnaujinti. </w:t>
            </w:r>
          </w:p>
          <w:p w14:paraId="12271168" w14:textId="77777777" w:rsidR="00337540" w:rsidRPr="00E30BEA" w:rsidRDefault="00337540" w:rsidP="00EA08B9">
            <w:pPr>
              <w:jc w:val="both"/>
              <w:rPr>
                <w:rFonts w:ascii="Times New Roman" w:eastAsia="Aptos" w:hAnsi="Times New Roman"/>
                <w:color w:val="000000" w:themeColor="text1"/>
                <w:sz w:val="24"/>
                <w:szCs w:val="24"/>
                <w:lang w:val="fr-BE"/>
              </w:rPr>
            </w:pPr>
            <w:r w:rsidRPr="00E30BEA">
              <w:rPr>
                <w:rFonts w:ascii="Times New Roman" w:eastAsia="Aptos" w:hAnsi="Times New Roman"/>
                <w:color w:val="000000" w:themeColor="text1"/>
                <w:sz w:val="24"/>
                <w:szCs w:val="24"/>
                <w:lang w:val="fr-BE"/>
              </w:rPr>
              <w:t xml:space="preserve">2024 m. bendruomenės narių numatyti šie Progimnazijos veiklos </w:t>
            </w:r>
            <w:proofErr w:type="gramStart"/>
            <w:r w:rsidRPr="00E30BEA">
              <w:rPr>
                <w:rFonts w:ascii="Times New Roman" w:eastAsia="Aptos" w:hAnsi="Times New Roman"/>
                <w:color w:val="000000" w:themeColor="text1"/>
                <w:sz w:val="24"/>
                <w:szCs w:val="24"/>
                <w:lang w:val="fr-BE"/>
              </w:rPr>
              <w:t>prioritetai:</w:t>
            </w:r>
            <w:proofErr w:type="gramEnd"/>
            <w:r w:rsidRPr="00E30BEA">
              <w:rPr>
                <w:rFonts w:ascii="Times New Roman" w:eastAsia="Aptos" w:hAnsi="Times New Roman"/>
                <w:color w:val="000000" w:themeColor="text1"/>
                <w:sz w:val="24"/>
                <w:szCs w:val="24"/>
                <w:lang w:val="fr-BE"/>
              </w:rPr>
              <w:t xml:space="preserve"> </w:t>
            </w:r>
            <w:r w:rsidRPr="00E30BEA">
              <w:rPr>
                <w:rFonts w:ascii="Times New Roman" w:eastAsia="Aptos" w:hAnsi="Times New Roman"/>
                <w:color w:val="000000" w:themeColor="text1"/>
                <w:sz w:val="24"/>
                <w:szCs w:val="24"/>
                <w:lang w:val="fr-BE" w:eastAsia="lt-LT"/>
              </w:rPr>
              <w:t>toliau stiprinti įvairiapusės pagalbos  mokiniams teikimą, taikant kiekvieno mokinio pažangos matavimo sistemą ir ugdant vidinę jų kultūrą.</w:t>
            </w:r>
          </w:p>
        </w:tc>
      </w:tr>
    </w:tbl>
    <w:p w14:paraId="6EF68D70" w14:textId="77777777" w:rsidR="00337540" w:rsidRDefault="00337540" w:rsidP="00337540">
      <w:pPr>
        <w:spacing w:after="0" w:line="240" w:lineRule="auto"/>
        <w:jc w:val="center"/>
        <w:rPr>
          <w:rFonts w:ascii="Times New Roman" w:eastAsia="Calibri" w:hAnsi="Times New Roman" w:cs="Times New Roman"/>
          <w:b/>
          <w:sz w:val="24"/>
          <w:szCs w:val="24"/>
          <w:lang w:val="lt-LT"/>
        </w:rPr>
      </w:pPr>
    </w:p>
    <w:p w14:paraId="039CFB9A" w14:textId="77777777" w:rsidR="00337540" w:rsidRDefault="00337540" w:rsidP="00337540">
      <w:pPr>
        <w:spacing w:after="0" w:line="240" w:lineRule="auto"/>
        <w:jc w:val="center"/>
        <w:rPr>
          <w:rFonts w:ascii="Times New Roman" w:eastAsia="Calibri" w:hAnsi="Times New Roman" w:cs="Times New Roman"/>
          <w:b/>
          <w:sz w:val="24"/>
          <w:szCs w:val="24"/>
          <w:lang w:val="lt-LT"/>
        </w:rPr>
      </w:pPr>
    </w:p>
    <w:p w14:paraId="386CE470" w14:textId="77777777" w:rsidR="00337540" w:rsidRDefault="00337540" w:rsidP="00337540">
      <w:pPr>
        <w:spacing w:after="0" w:line="240" w:lineRule="auto"/>
        <w:jc w:val="center"/>
        <w:rPr>
          <w:rFonts w:ascii="Times New Roman" w:eastAsia="Calibri" w:hAnsi="Times New Roman" w:cs="Times New Roman"/>
          <w:b/>
          <w:sz w:val="24"/>
          <w:szCs w:val="24"/>
          <w:lang w:val="lt-LT"/>
        </w:rPr>
      </w:pPr>
    </w:p>
    <w:p w14:paraId="44847DF2" w14:textId="77777777" w:rsidR="00337540" w:rsidRDefault="00337540" w:rsidP="00337540">
      <w:pPr>
        <w:spacing w:after="0" w:line="240" w:lineRule="auto"/>
        <w:jc w:val="center"/>
        <w:rPr>
          <w:rFonts w:ascii="Times New Roman" w:eastAsia="Calibri" w:hAnsi="Times New Roman" w:cs="Times New Roman"/>
          <w:b/>
          <w:sz w:val="24"/>
          <w:szCs w:val="24"/>
          <w:lang w:val="lt-LT"/>
        </w:rPr>
      </w:pPr>
    </w:p>
    <w:p w14:paraId="29E07DEA" w14:textId="77777777" w:rsidR="00337540" w:rsidRDefault="00337540" w:rsidP="00337540">
      <w:pPr>
        <w:spacing w:after="0" w:line="240" w:lineRule="auto"/>
        <w:jc w:val="center"/>
        <w:rPr>
          <w:rFonts w:ascii="Times New Roman" w:eastAsia="Calibri" w:hAnsi="Times New Roman" w:cs="Times New Roman"/>
          <w:b/>
          <w:sz w:val="24"/>
          <w:szCs w:val="24"/>
          <w:lang w:val="lt-LT"/>
        </w:rPr>
      </w:pPr>
    </w:p>
    <w:p w14:paraId="05628C2C" w14:textId="77777777" w:rsidR="00CD4EFC" w:rsidRPr="00337540" w:rsidRDefault="00CD4EFC">
      <w:pPr>
        <w:rPr>
          <w:lang w:val="lt-LT"/>
        </w:rPr>
      </w:pPr>
    </w:p>
    <w:sectPr w:rsidR="00CD4EFC" w:rsidRPr="0033754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40"/>
    <w:rsid w:val="00337540"/>
    <w:rsid w:val="00B20494"/>
    <w:rsid w:val="00B403C1"/>
    <w:rsid w:val="00CD4EFC"/>
    <w:rsid w:val="00D509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67AF"/>
  <w15:chartTrackingRefBased/>
  <w15:docId w15:val="{3024B560-09D3-4EB8-A324-D6D08FD9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540"/>
    <w:rPr>
      <w:lang w:val="en-US"/>
    </w:rPr>
  </w:style>
  <w:style w:type="paragraph" w:styleId="Heading1">
    <w:name w:val="heading 1"/>
    <w:basedOn w:val="Normal"/>
    <w:next w:val="Normal"/>
    <w:link w:val="Heading1Char"/>
    <w:uiPriority w:val="9"/>
    <w:qFormat/>
    <w:rsid w:val="00337540"/>
    <w:pPr>
      <w:keepNext/>
      <w:keepLines/>
      <w:spacing w:before="360" w:after="80"/>
      <w:outlineLvl w:val="0"/>
    </w:pPr>
    <w:rPr>
      <w:rFonts w:asciiTheme="majorHAnsi" w:eastAsiaTheme="majorEastAsia" w:hAnsiTheme="majorHAnsi" w:cstheme="majorBidi"/>
      <w:color w:val="0F4761" w:themeColor="accent1" w:themeShade="BF"/>
      <w:sz w:val="40"/>
      <w:szCs w:val="40"/>
      <w:lang w:val="lt-LT"/>
    </w:rPr>
  </w:style>
  <w:style w:type="paragraph" w:styleId="Heading2">
    <w:name w:val="heading 2"/>
    <w:basedOn w:val="Normal"/>
    <w:next w:val="Normal"/>
    <w:link w:val="Heading2Char"/>
    <w:uiPriority w:val="9"/>
    <w:semiHidden/>
    <w:unhideWhenUsed/>
    <w:qFormat/>
    <w:rsid w:val="00337540"/>
    <w:pPr>
      <w:keepNext/>
      <w:keepLines/>
      <w:spacing w:before="160" w:after="80"/>
      <w:outlineLvl w:val="1"/>
    </w:pPr>
    <w:rPr>
      <w:rFonts w:asciiTheme="majorHAnsi" w:eastAsiaTheme="majorEastAsia" w:hAnsiTheme="majorHAnsi" w:cstheme="majorBidi"/>
      <w:color w:val="0F4761" w:themeColor="accent1" w:themeShade="BF"/>
      <w:sz w:val="32"/>
      <w:szCs w:val="32"/>
      <w:lang w:val="lt-LT"/>
    </w:rPr>
  </w:style>
  <w:style w:type="paragraph" w:styleId="Heading3">
    <w:name w:val="heading 3"/>
    <w:basedOn w:val="Normal"/>
    <w:next w:val="Normal"/>
    <w:link w:val="Heading3Char"/>
    <w:uiPriority w:val="9"/>
    <w:semiHidden/>
    <w:unhideWhenUsed/>
    <w:qFormat/>
    <w:rsid w:val="00337540"/>
    <w:pPr>
      <w:keepNext/>
      <w:keepLines/>
      <w:spacing w:before="160" w:after="80"/>
      <w:outlineLvl w:val="2"/>
    </w:pPr>
    <w:rPr>
      <w:rFonts w:eastAsiaTheme="majorEastAsia" w:cstheme="majorBidi"/>
      <w:color w:val="0F4761" w:themeColor="accent1" w:themeShade="BF"/>
      <w:sz w:val="28"/>
      <w:szCs w:val="28"/>
      <w:lang w:val="lt-LT"/>
    </w:rPr>
  </w:style>
  <w:style w:type="paragraph" w:styleId="Heading4">
    <w:name w:val="heading 4"/>
    <w:basedOn w:val="Normal"/>
    <w:next w:val="Normal"/>
    <w:link w:val="Heading4Char"/>
    <w:uiPriority w:val="9"/>
    <w:semiHidden/>
    <w:unhideWhenUsed/>
    <w:qFormat/>
    <w:rsid w:val="00337540"/>
    <w:pPr>
      <w:keepNext/>
      <w:keepLines/>
      <w:spacing w:before="80" w:after="40"/>
      <w:outlineLvl w:val="3"/>
    </w:pPr>
    <w:rPr>
      <w:rFonts w:eastAsiaTheme="majorEastAsia" w:cstheme="majorBidi"/>
      <w:i/>
      <w:iCs/>
      <w:color w:val="0F4761" w:themeColor="accent1" w:themeShade="BF"/>
      <w:lang w:val="lt-LT"/>
    </w:rPr>
  </w:style>
  <w:style w:type="paragraph" w:styleId="Heading5">
    <w:name w:val="heading 5"/>
    <w:basedOn w:val="Normal"/>
    <w:next w:val="Normal"/>
    <w:link w:val="Heading5Char"/>
    <w:uiPriority w:val="9"/>
    <w:semiHidden/>
    <w:unhideWhenUsed/>
    <w:qFormat/>
    <w:rsid w:val="00337540"/>
    <w:pPr>
      <w:keepNext/>
      <w:keepLines/>
      <w:spacing w:before="80" w:after="40"/>
      <w:outlineLvl w:val="4"/>
    </w:pPr>
    <w:rPr>
      <w:rFonts w:eastAsiaTheme="majorEastAsia" w:cstheme="majorBidi"/>
      <w:color w:val="0F4761" w:themeColor="accent1" w:themeShade="BF"/>
      <w:lang w:val="lt-LT"/>
    </w:rPr>
  </w:style>
  <w:style w:type="paragraph" w:styleId="Heading6">
    <w:name w:val="heading 6"/>
    <w:basedOn w:val="Normal"/>
    <w:next w:val="Normal"/>
    <w:link w:val="Heading6Char"/>
    <w:uiPriority w:val="9"/>
    <w:semiHidden/>
    <w:unhideWhenUsed/>
    <w:qFormat/>
    <w:rsid w:val="00337540"/>
    <w:pPr>
      <w:keepNext/>
      <w:keepLines/>
      <w:spacing w:before="40" w:after="0"/>
      <w:outlineLvl w:val="5"/>
    </w:pPr>
    <w:rPr>
      <w:rFonts w:eastAsiaTheme="majorEastAsia" w:cstheme="majorBidi"/>
      <w:i/>
      <w:iCs/>
      <w:color w:val="595959" w:themeColor="text1" w:themeTint="A6"/>
      <w:lang w:val="lt-LT"/>
    </w:rPr>
  </w:style>
  <w:style w:type="paragraph" w:styleId="Heading7">
    <w:name w:val="heading 7"/>
    <w:basedOn w:val="Normal"/>
    <w:next w:val="Normal"/>
    <w:link w:val="Heading7Char"/>
    <w:uiPriority w:val="9"/>
    <w:semiHidden/>
    <w:unhideWhenUsed/>
    <w:qFormat/>
    <w:rsid w:val="00337540"/>
    <w:pPr>
      <w:keepNext/>
      <w:keepLines/>
      <w:spacing w:before="40" w:after="0"/>
      <w:outlineLvl w:val="6"/>
    </w:pPr>
    <w:rPr>
      <w:rFonts w:eastAsiaTheme="majorEastAsia" w:cstheme="majorBidi"/>
      <w:color w:val="595959" w:themeColor="text1" w:themeTint="A6"/>
      <w:lang w:val="lt-LT"/>
    </w:rPr>
  </w:style>
  <w:style w:type="paragraph" w:styleId="Heading8">
    <w:name w:val="heading 8"/>
    <w:basedOn w:val="Normal"/>
    <w:next w:val="Normal"/>
    <w:link w:val="Heading8Char"/>
    <w:uiPriority w:val="9"/>
    <w:semiHidden/>
    <w:unhideWhenUsed/>
    <w:qFormat/>
    <w:rsid w:val="00337540"/>
    <w:pPr>
      <w:keepNext/>
      <w:keepLines/>
      <w:spacing w:after="0"/>
      <w:outlineLvl w:val="7"/>
    </w:pPr>
    <w:rPr>
      <w:rFonts w:eastAsiaTheme="majorEastAsia" w:cstheme="majorBidi"/>
      <w:i/>
      <w:iCs/>
      <w:color w:val="272727" w:themeColor="text1" w:themeTint="D8"/>
      <w:lang w:val="lt-LT"/>
    </w:rPr>
  </w:style>
  <w:style w:type="paragraph" w:styleId="Heading9">
    <w:name w:val="heading 9"/>
    <w:basedOn w:val="Normal"/>
    <w:next w:val="Normal"/>
    <w:link w:val="Heading9Char"/>
    <w:uiPriority w:val="9"/>
    <w:semiHidden/>
    <w:unhideWhenUsed/>
    <w:qFormat/>
    <w:rsid w:val="00337540"/>
    <w:pPr>
      <w:keepNext/>
      <w:keepLines/>
      <w:spacing w:after="0"/>
      <w:outlineLvl w:val="8"/>
    </w:pPr>
    <w:rPr>
      <w:rFonts w:eastAsiaTheme="majorEastAsia" w:cstheme="majorBidi"/>
      <w:color w:val="272727" w:themeColor="text1" w:themeTint="D8"/>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5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75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75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75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75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75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5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5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540"/>
    <w:rPr>
      <w:rFonts w:eastAsiaTheme="majorEastAsia" w:cstheme="majorBidi"/>
      <w:color w:val="272727" w:themeColor="text1" w:themeTint="D8"/>
    </w:rPr>
  </w:style>
  <w:style w:type="paragraph" w:styleId="Title">
    <w:name w:val="Title"/>
    <w:basedOn w:val="Normal"/>
    <w:next w:val="Normal"/>
    <w:link w:val="TitleChar"/>
    <w:uiPriority w:val="10"/>
    <w:qFormat/>
    <w:rsid w:val="00337540"/>
    <w:pPr>
      <w:spacing w:after="80" w:line="240" w:lineRule="auto"/>
      <w:contextualSpacing/>
    </w:pPr>
    <w:rPr>
      <w:rFonts w:asciiTheme="majorHAnsi" w:eastAsiaTheme="majorEastAsia" w:hAnsiTheme="majorHAnsi" w:cstheme="majorBidi"/>
      <w:spacing w:val="-10"/>
      <w:kern w:val="28"/>
      <w:sz w:val="56"/>
      <w:szCs w:val="56"/>
      <w:lang w:val="lt-LT"/>
    </w:rPr>
  </w:style>
  <w:style w:type="character" w:customStyle="1" w:styleId="TitleChar">
    <w:name w:val="Title Char"/>
    <w:basedOn w:val="DefaultParagraphFont"/>
    <w:link w:val="Title"/>
    <w:uiPriority w:val="10"/>
    <w:rsid w:val="003375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540"/>
    <w:pPr>
      <w:numPr>
        <w:ilvl w:val="1"/>
      </w:numPr>
    </w:pPr>
    <w:rPr>
      <w:rFonts w:eastAsiaTheme="majorEastAsia" w:cstheme="majorBidi"/>
      <w:color w:val="595959" w:themeColor="text1" w:themeTint="A6"/>
      <w:spacing w:val="15"/>
      <w:sz w:val="28"/>
      <w:szCs w:val="28"/>
      <w:lang w:val="lt-LT"/>
    </w:rPr>
  </w:style>
  <w:style w:type="character" w:customStyle="1" w:styleId="SubtitleChar">
    <w:name w:val="Subtitle Char"/>
    <w:basedOn w:val="DefaultParagraphFont"/>
    <w:link w:val="Subtitle"/>
    <w:uiPriority w:val="11"/>
    <w:rsid w:val="003375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540"/>
    <w:pPr>
      <w:spacing w:before="160"/>
      <w:jc w:val="center"/>
    </w:pPr>
    <w:rPr>
      <w:i/>
      <w:iCs/>
      <w:color w:val="404040" w:themeColor="text1" w:themeTint="BF"/>
      <w:lang w:val="lt-LT"/>
    </w:rPr>
  </w:style>
  <w:style w:type="character" w:customStyle="1" w:styleId="QuoteChar">
    <w:name w:val="Quote Char"/>
    <w:basedOn w:val="DefaultParagraphFont"/>
    <w:link w:val="Quote"/>
    <w:uiPriority w:val="29"/>
    <w:rsid w:val="00337540"/>
    <w:rPr>
      <w:i/>
      <w:iCs/>
      <w:color w:val="404040" w:themeColor="text1" w:themeTint="BF"/>
    </w:rPr>
  </w:style>
  <w:style w:type="paragraph" w:styleId="ListParagraph">
    <w:name w:val="List Paragraph"/>
    <w:basedOn w:val="Normal"/>
    <w:uiPriority w:val="34"/>
    <w:qFormat/>
    <w:rsid w:val="00337540"/>
    <w:pPr>
      <w:ind w:left="720"/>
      <w:contextualSpacing/>
    </w:pPr>
    <w:rPr>
      <w:lang w:val="lt-LT"/>
    </w:rPr>
  </w:style>
  <w:style w:type="character" w:styleId="IntenseEmphasis">
    <w:name w:val="Intense Emphasis"/>
    <w:basedOn w:val="DefaultParagraphFont"/>
    <w:uiPriority w:val="21"/>
    <w:qFormat/>
    <w:rsid w:val="00337540"/>
    <w:rPr>
      <w:i/>
      <w:iCs/>
      <w:color w:val="0F4761" w:themeColor="accent1" w:themeShade="BF"/>
    </w:rPr>
  </w:style>
  <w:style w:type="paragraph" w:styleId="IntenseQuote">
    <w:name w:val="Intense Quote"/>
    <w:basedOn w:val="Normal"/>
    <w:next w:val="Normal"/>
    <w:link w:val="IntenseQuoteChar"/>
    <w:uiPriority w:val="30"/>
    <w:qFormat/>
    <w:rsid w:val="003375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lt-LT"/>
    </w:rPr>
  </w:style>
  <w:style w:type="character" w:customStyle="1" w:styleId="IntenseQuoteChar">
    <w:name w:val="Intense Quote Char"/>
    <w:basedOn w:val="DefaultParagraphFont"/>
    <w:link w:val="IntenseQuote"/>
    <w:uiPriority w:val="30"/>
    <w:rsid w:val="00337540"/>
    <w:rPr>
      <w:i/>
      <w:iCs/>
      <w:color w:val="0F4761" w:themeColor="accent1" w:themeShade="BF"/>
    </w:rPr>
  </w:style>
  <w:style w:type="character" w:styleId="IntenseReference">
    <w:name w:val="Intense Reference"/>
    <w:basedOn w:val="DefaultParagraphFont"/>
    <w:uiPriority w:val="32"/>
    <w:qFormat/>
    <w:rsid w:val="00337540"/>
    <w:rPr>
      <w:b/>
      <w:bCs/>
      <w:smallCaps/>
      <w:color w:val="0F4761" w:themeColor="accent1" w:themeShade="BF"/>
      <w:spacing w:val="5"/>
    </w:rPr>
  </w:style>
  <w:style w:type="table" w:styleId="TableGrid">
    <w:name w:val="Table Grid"/>
    <w:basedOn w:val="TableNormal"/>
    <w:uiPriority w:val="39"/>
    <w:rsid w:val="0033754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siota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8259</Words>
  <Characters>4708</Characters>
  <Application>Microsoft Office Word</Application>
  <DocSecurity>0</DocSecurity>
  <Lines>39</Lines>
  <Paragraphs>25</Paragraphs>
  <ScaleCrop>false</ScaleCrop>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Grigienė</dc:creator>
  <cp:keywords/>
  <dc:description/>
  <cp:lastModifiedBy>Janina Grigienė</cp:lastModifiedBy>
  <cp:revision>3</cp:revision>
  <dcterms:created xsi:type="dcterms:W3CDTF">2024-04-15T10:32:00Z</dcterms:created>
  <dcterms:modified xsi:type="dcterms:W3CDTF">2024-04-15T11:08:00Z</dcterms:modified>
</cp:coreProperties>
</file>