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9A73" w14:textId="01494C77" w:rsidR="003D5DE3" w:rsidRPr="006E03B6" w:rsidRDefault="003D5DE3" w:rsidP="003D5DE3">
      <w:pPr>
        <w:spacing w:after="0" w:line="240" w:lineRule="auto"/>
        <w:jc w:val="center"/>
        <w:rPr>
          <w:rFonts w:ascii="Times New Roman" w:eastAsia="Calibri" w:hAnsi="Times New Roman" w:cs="Times New Roman"/>
          <w:b/>
          <w:bCs/>
          <w:sz w:val="24"/>
          <w:szCs w:val="24"/>
          <w:lang w:val="lt-LT"/>
        </w:rPr>
      </w:pPr>
      <w:r w:rsidRPr="006E03B6">
        <w:rPr>
          <w:rFonts w:ascii="Times New Roman" w:eastAsia="Calibri" w:hAnsi="Times New Roman" w:cs="Times New Roman"/>
          <w:b/>
          <w:bCs/>
          <w:sz w:val="24"/>
          <w:szCs w:val="24"/>
          <w:lang w:val="lt-LT"/>
        </w:rPr>
        <w:t>KLAIPĖDOS PRANO MAŠIOTO PROGIMNAZIJOS</w:t>
      </w:r>
    </w:p>
    <w:p w14:paraId="3258321A" w14:textId="77777777" w:rsidR="003D5DE3" w:rsidRPr="006E03B6" w:rsidRDefault="003D5DE3" w:rsidP="003D5DE3">
      <w:pPr>
        <w:spacing w:after="0" w:line="240" w:lineRule="auto"/>
        <w:jc w:val="center"/>
        <w:rPr>
          <w:rFonts w:ascii="Times New Roman" w:eastAsia="Calibri" w:hAnsi="Times New Roman" w:cs="Times New Roman"/>
          <w:b/>
          <w:sz w:val="24"/>
          <w:szCs w:val="24"/>
          <w:lang w:val="lt-LT"/>
        </w:rPr>
      </w:pPr>
      <w:r w:rsidRPr="006E03B6">
        <w:rPr>
          <w:rFonts w:ascii="Times New Roman" w:eastAsia="Calibri" w:hAnsi="Times New Roman" w:cs="Times New Roman"/>
          <w:b/>
          <w:sz w:val="24"/>
          <w:szCs w:val="24"/>
          <w:lang w:val="lt-LT"/>
        </w:rPr>
        <w:t>202</w:t>
      </w:r>
      <w:r>
        <w:rPr>
          <w:rFonts w:ascii="Times New Roman" w:eastAsia="Calibri" w:hAnsi="Times New Roman" w:cs="Times New Roman"/>
          <w:b/>
          <w:sz w:val="24"/>
          <w:szCs w:val="24"/>
          <w:lang w:val="lt-LT"/>
        </w:rPr>
        <w:t>2</w:t>
      </w:r>
      <w:r w:rsidRPr="006E03B6">
        <w:rPr>
          <w:rFonts w:ascii="Times New Roman" w:eastAsia="Calibri" w:hAnsi="Times New Roman" w:cs="Times New Roman"/>
          <w:b/>
          <w:sz w:val="24"/>
          <w:szCs w:val="24"/>
          <w:lang w:val="lt-LT"/>
        </w:rPr>
        <w:t xml:space="preserve"> METŲ VEIKLOS ATASKAITA</w:t>
      </w:r>
    </w:p>
    <w:p w14:paraId="7C86E0E4" w14:textId="77777777" w:rsidR="003D5DE3" w:rsidRPr="006E03B6" w:rsidRDefault="003D5DE3" w:rsidP="003D5DE3">
      <w:pPr>
        <w:spacing w:after="0" w:line="240" w:lineRule="auto"/>
        <w:jc w:val="center"/>
        <w:rPr>
          <w:rFonts w:ascii="Times New Roman" w:eastAsia="Calibri" w:hAnsi="Times New Roman" w:cs="Times New Roman"/>
          <w:sz w:val="24"/>
          <w:szCs w:val="24"/>
          <w:lang w:val="lt-LT"/>
        </w:rPr>
      </w:pPr>
    </w:p>
    <w:p w14:paraId="5D6E75AD" w14:textId="77777777" w:rsidR="003D5DE3" w:rsidRPr="006E03B6" w:rsidRDefault="003D5DE3" w:rsidP="003D5DE3">
      <w:pPr>
        <w:spacing w:after="0" w:line="240" w:lineRule="auto"/>
        <w:jc w:val="center"/>
        <w:rPr>
          <w:rFonts w:ascii="Times New Roman" w:eastAsia="Calibri" w:hAnsi="Times New Roman" w:cs="Times New Roman"/>
          <w:sz w:val="24"/>
          <w:szCs w:val="24"/>
          <w:lang w:val="lt-LT"/>
        </w:rPr>
      </w:pPr>
      <w:r w:rsidRPr="006E03B6">
        <w:rPr>
          <w:rFonts w:ascii="Times New Roman" w:eastAsia="Calibri" w:hAnsi="Times New Roman" w:cs="Times New Roman"/>
          <w:sz w:val="24"/>
          <w:szCs w:val="24"/>
          <w:lang w:val="lt-LT"/>
        </w:rPr>
        <w:t>Nr.</w:t>
      </w:r>
    </w:p>
    <w:p w14:paraId="71A54895" w14:textId="77777777" w:rsidR="003D5DE3" w:rsidRPr="006E03B6" w:rsidRDefault="003D5DE3" w:rsidP="003D5DE3">
      <w:pPr>
        <w:spacing w:after="0" w:line="240" w:lineRule="auto"/>
        <w:jc w:val="center"/>
        <w:rPr>
          <w:rFonts w:ascii="Times New Roman" w:eastAsia="Calibri" w:hAnsi="Times New Roman" w:cs="Times New Roman"/>
          <w:sz w:val="24"/>
          <w:szCs w:val="24"/>
          <w:lang w:val="lt-LT"/>
        </w:rPr>
      </w:pPr>
      <w:r w:rsidRPr="006E03B6">
        <w:rPr>
          <w:rFonts w:ascii="Times New Roman" w:eastAsia="Calibri" w:hAnsi="Times New Roman" w:cs="Times New Roman"/>
          <w:sz w:val="24"/>
          <w:szCs w:val="24"/>
          <w:lang w:val="lt-LT"/>
        </w:rPr>
        <w:t>Klaipėda</w:t>
      </w:r>
    </w:p>
    <w:p w14:paraId="6CDE7B0E" w14:textId="77777777" w:rsidR="003D5DE3" w:rsidRDefault="003D5DE3" w:rsidP="003D5DE3">
      <w:pPr>
        <w:spacing w:after="0" w:line="240" w:lineRule="auto"/>
        <w:jc w:val="center"/>
        <w:rPr>
          <w:rFonts w:ascii="Times New Roman" w:eastAsia="Calibri" w:hAnsi="Times New Roman" w:cs="Times New Roman"/>
          <w:sz w:val="24"/>
          <w:szCs w:val="24"/>
          <w:lang w:val="lt-LT"/>
        </w:rPr>
      </w:pPr>
    </w:p>
    <w:p w14:paraId="2E23BCE7" w14:textId="77777777" w:rsidR="003D5DE3" w:rsidRPr="006E03B6" w:rsidRDefault="003D5DE3" w:rsidP="003D5DE3">
      <w:pPr>
        <w:spacing w:after="0" w:line="240" w:lineRule="auto"/>
        <w:jc w:val="center"/>
        <w:rPr>
          <w:rFonts w:ascii="Times New Roman" w:eastAsia="Calibri" w:hAnsi="Times New Roman" w:cs="Times New Roman"/>
          <w:sz w:val="24"/>
          <w:szCs w:val="24"/>
          <w:lang w:val="lt-LT"/>
        </w:rPr>
      </w:pPr>
    </w:p>
    <w:p w14:paraId="2C12A44A" w14:textId="77777777" w:rsidR="003D5DE3" w:rsidRPr="006E03B6" w:rsidRDefault="003D5DE3" w:rsidP="003D5DE3">
      <w:pPr>
        <w:spacing w:after="0" w:line="240" w:lineRule="auto"/>
        <w:jc w:val="center"/>
        <w:rPr>
          <w:rFonts w:ascii="Times New Roman" w:eastAsia="Calibri" w:hAnsi="Times New Roman" w:cs="Times New Roman"/>
          <w:b/>
          <w:sz w:val="24"/>
          <w:szCs w:val="24"/>
          <w:lang w:val="lt-LT"/>
        </w:rPr>
      </w:pPr>
      <w:r w:rsidRPr="006E03B6">
        <w:rPr>
          <w:rFonts w:ascii="Times New Roman" w:eastAsia="Calibri" w:hAnsi="Times New Roman" w:cs="Times New Roman"/>
          <w:b/>
          <w:sz w:val="24"/>
          <w:szCs w:val="24"/>
          <w:lang w:val="lt-LT"/>
        </w:rPr>
        <w:t>I SKYRIUS</w:t>
      </w:r>
    </w:p>
    <w:p w14:paraId="62357177" w14:textId="77777777" w:rsidR="003D5DE3" w:rsidRDefault="003D5DE3" w:rsidP="003D5DE3">
      <w:pPr>
        <w:spacing w:after="0" w:line="240" w:lineRule="auto"/>
        <w:jc w:val="center"/>
        <w:rPr>
          <w:rFonts w:ascii="Times New Roman" w:eastAsia="Calibri" w:hAnsi="Times New Roman" w:cs="Times New Roman"/>
          <w:b/>
          <w:sz w:val="24"/>
          <w:szCs w:val="24"/>
          <w:lang w:val="lt-LT"/>
        </w:rPr>
      </w:pPr>
      <w:r w:rsidRPr="006E03B6">
        <w:rPr>
          <w:rFonts w:ascii="Times New Roman" w:eastAsia="Calibri" w:hAnsi="Times New Roman" w:cs="Times New Roman"/>
          <w:b/>
          <w:sz w:val="24"/>
          <w:szCs w:val="24"/>
          <w:lang w:val="lt-LT"/>
        </w:rPr>
        <w:t>STRATEGINIO PLANO IR METINIO VEIKLOS PLANO ĮGYVENDINIMAS</w:t>
      </w:r>
    </w:p>
    <w:p w14:paraId="374EC01E" w14:textId="77777777" w:rsidR="003D5DE3" w:rsidRPr="00973402" w:rsidRDefault="003D5DE3" w:rsidP="003D5DE3">
      <w:pPr>
        <w:spacing w:after="0" w:line="240" w:lineRule="auto"/>
        <w:jc w:val="both"/>
        <w:rPr>
          <w:rFonts w:ascii="Times New Roman" w:hAnsi="Times New Roman" w:cs="Times New Roman"/>
          <w:b/>
          <w:bCs/>
          <w:spacing w:val="-1"/>
          <w:sz w:val="24"/>
          <w:szCs w:val="24"/>
        </w:rPr>
      </w:pPr>
    </w:p>
    <w:tbl>
      <w:tblPr>
        <w:tblStyle w:val="TableGrid"/>
        <w:tblW w:w="9781" w:type="dxa"/>
        <w:tblInd w:w="-147" w:type="dxa"/>
        <w:tblLayout w:type="fixed"/>
        <w:tblLook w:val="04A0" w:firstRow="1" w:lastRow="0" w:firstColumn="1" w:lastColumn="0" w:noHBand="0" w:noVBand="1"/>
      </w:tblPr>
      <w:tblGrid>
        <w:gridCol w:w="9781"/>
      </w:tblGrid>
      <w:tr w:rsidR="003D5DE3" w:rsidRPr="007C055D" w14:paraId="07DE23F4" w14:textId="77777777" w:rsidTr="0064209D">
        <w:tc>
          <w:tcPr>
            <w:tcW w:w="9781" w:type="dxa"/>
            <w:tcBorders>
              <w:top w:val="single" w:sz="4" w:space="0" w:color="auto"/>
              <w:left w:val="single" w:sz="4" w:space="0" w:color="auto"/>
              <w:bottom w:val="single" w:sz="4" w:space="0" w:color="auto"/>
              <w:right w:val="single" w:sz="4" w:space="0" w:color="auto"/>
            </w:tcBorders>
            <w:hideMark/>
          </w:tcPr>
          <w:p w14:paraId="632D093A" w14:textId="77777777" w:rsidR="003D5DE3" w:rsidRPr="007C055D" w:rsidRDefault="003D5DE3" w:rsidP="0064209D">
            <w:pPr>
              <w:tabs>
                <w:tab w:val="left" w:pos="990"/>
              </w:tabs>
              <w:ind w:firstLine="567"/>
              <w:jc w:val="both"/>
              <w:rPr>
                <w:rFonts w:ascii="Times New Roman" w:hAnsi="Times New Roman"/>
                <w:sz w:val="24"/>
                <w:szCs w:val="24"/>
                <w:lang w:val="lt-LT"/>
              </w:rPr>
            </w:pPr>
            <w:r w:rsidRPr="007C055D">
              <w:rPr>
                <w:rFonts w:ascii="Times New Roman" w:hAnsi="Times New Roman"/>
                <w:sz w:val="24"/>
                <w:szCs w:val="24"/>
                <w:lang w:val="lt-LT"/>
              </w:rPr>
              <w:t xml:space="preserve">Klaipėdos Prano Mašioto progimnazija (toliau </w:t>
            </w:r>
            <w:r w:rsidRPr="007C055D">
              <w:rPr>
                <w:rFonts w:ascii="Times New Roman" w:hAnsi="Times New Roman"/>
                <w:color w:val="7030A0"/>
                <w:sz w:val="24"/>
                <w:szCs w:val="24"/>
                <w:lang w:val="lt-LT"/>
              </w:rPr>
              <w:t xml:space="preserve">– </w:t>
            </w:r>
            <w:r w:rsidRPr="007C055D">
              <w:rPr>
                <w:rFonts w:ascii="Times New Roman" w:hAnsi="Times New Roman"/>
                <w:sz w:val="24"/>
                <w:szCs w:val="24"/>
                <w:lang w:val="lt-LT"/>
              </w:rPr>
              <w:t>Progimnazija) praėjusiais metais savo veikloje vadovavosi 2022–2024 m. strateginiu planu (toliau – Strateginis planas) ir 2022 m. veiklos planu (toliau – Veiklos planas). Progimnazijos bendruomenė 2022 m. pasirinko šias prioritetines veiklos kryptis:</w:t>
            </w:r>
            <w:r w:rsidRPr="007C055D">
              <w:rPr>
                <w:rFonts w:ascii="Times New Roman" w:eastAsia="Times New Roman" w:hAnsi="Times New Roman"/>
                <w:sz w:val="24"/>
                <w:szCs w:val="24"/>
                <w:lang w:val="lt-LT" w:eastAsia="lt-LT"/>
              </w:rPr>
              <w:t xml:space="preserve"> 1) s</w:t>
            </w:r>
            <w:r w:rsidRPr="007C055D">
              <w:rPr>
                <w:rFonts w:ascii="Times New Roman" w:hAnsi="Times New Roman"/>
                <w:sz w:val="24"/>
                <w:szCs w:val="24"/>
                <w:lang w:val="lt-LT"/>
              </w:rPr>
              <w:t>udaryti sąlygas kiekvienam mokiniui siekti asmeninės pažangos; 2) skatinti mokytojų bendradarbiavimą ir nuolatinį bendrųjų bei profesinių kompetencijų tobulinimą.</w:t>
            </w:r>
          </w:p>
          <w:p w14:paraId="51C7D71A" w14:textId="77777777" w:rsidR="003D5DE3" w:rsidRPr="007C055D" w:rsidRDefault="003D5DE3" w:rsidP="0064209D">
            <w:pPr>
              <w:jc w:val="both"/>
              <w:rPr>
                <w:rFonts w:ascii="Times New Roman" w:hAnsi="Times New Roman"/>
                <w:sz w:val="24"/>
                <w:szCs w:val="24"/>
                <w:shd w:val="clear" w:color="auto" w:fill="FFFFFF"/>
                <w:lang w:val="lt-LT"/>
              </w:rPr>
            </w:pPr>
            <w:r w:rsidRPr="007C055D">
              <w:rPr>
                <w:rFonts w:ascii="Times New Roman" w:hAnsi="Times New Roman"/>
                <w:sz w:val="24"/>
                <w:szCs w:val="24"/>
                <w:lang w:val="lt-LT"/>
              </w:rPr>
              <w:t xml:space="preserve"> Progimnazija 2022 m. įgyvendino pradinio, pagrindinio ugdymo (I dalis), neformaliojo švietimo programas bei Katalikiškojo ugdymo sistemos sampratos elementus, joje </w:t>
            </w:r>
            <w:r w:rsidRPr="007C055D">
              <w:rPr>
                <w:rFonts w:ascii="Times New Roman" w:hAnsi="Times New Roman"/>
                <w:sz w:val="24"/>
                <w:szCs w:val="24"/>
                <w:shd w:val="clear" w:color="auto" w:fill="FFFFFF"/>
                <w:lang w:val="lt-LT"/>
              </w:rPr>
              <w:t xml:space="preserve">dirbo 52 pedagoginiai (54,58 etatai), 28 nepedagoginiai (25,75 etato) darbuotojai. </w:t>
            </w:r>
            <w:r w:rsidRPr="007C055D">
              <w:rPr>
                <w:rFonts w:ascii="Times New Roman" w:hAnsi="Times New Roman"/>
                <w:sz w:val="24"/>
                <w:szCs w:val="24"/>
                <w:lang w:val="lt-LT"/>
              </w:rPr>
              <w:t xml:space="preserve">Progimnazijai numatytas veiklos sritis įgyvendinti pavyko siekiant šio </w:t>
            </w:r>
            <w:r w:rsidRPr="007C055D">
              <w:rPr>
                <w:rFonts w:ascii="Times New Roman" w:hAnsi="Times New Roman"/>
                <w:color w:val="000000" w:themeColor="text1"/>
                <w:sz w:val="24"/>
                <w:szCs w:val="24"/>
                <w:lang w:val="lt-LT"/>
              </w:rPr>
              <w:t>strateginio tikslo</w:t>
            </w:r>
            <w:r w:rsidRPr="007C055D">
              <w:rPr>
                <w:rFonts w:ascii="Times New Roman" w:hAnsi="Times New Roman"/>
                <w:sz w:val="24"/>
                <w:szCs w:val="24"/>
                <w:lang w:val="lt-LT"/>
              </w:rPr>
              <w:t>:</w:t>
            </w:r>
            <w:r w:rsidRPr="007C055D">
              <w:rPr>
                <w:rFonts w:ascii="Times New Roman" w:hAnsi="Times New Roman"/>
                <w:color w:val="0070C0"/>
                <w:sz w:val="24"/>
                <w:szCs w:val="24"/>
                <w:lang w:val="lt-LT"/>
              </w:rPr>
              <w:t xml:space="preserve"> </w:t>
            </w:r>
            <w:r w:rsidRPr="007C055D">
              <w:rPr>
                <w:rFonts w:ascii="Times New Roman" w:hAnsi="Times New Roman"/>
                <w:sz w:val="24"/>
                <w:szCs w:val="24"/>
                <w:lang w:val="lt-LT"/>
              </w:rPr>
              <w:t>užtikrinti kokybišką ugdymo proceso organizavimą. Strateginiam tikslui įgyvendinti Strateginiame ir Veiklos planuose buvo iškelti konkretūs veiklos tikslai ir uždaviniai, numatytos pamatuotos priemonės laukiamam rezultatui pasiekti: </w:t>
            </w:r>
          </w:p>
          <w:p w14:paraId="7A93E2E6" w14:textId="77777777" w:rsidR="003D5DE3"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 vienas iš pagrindinių Veiklos plano uždavinių buvo gerinti mokinių pasiekimų ir veiksmingos švietimo pagalbos įvairių gebėjimų mokiniams teikimą, taikant mokinio pažangos matavimo sistemą. Įgyvendinant šį uždavinį buvo taikomi inovatyvūs mokymo metodai, skatinantys ugdytinius sėkmingam mokymuisi: organizuotos 68 pamokos netradicinėse ugdymo aplinkose, 149 išvykos ir ekskursijos, plėtota projektinė ir patyriminė veikla: vykdyti 8 tarptautiniai, 27 šalies, 31 miesto ir 47 mokykliniai projektai, organizuotos 123 patyriminės STEAM veiklos, dalyvauta 73 „Kultūros paso“ edukaciniuose renginiuose, taikytas skaitmeninis ugdymo turinys bei šiuolaikinės technologijos pamokose.</w:t>
            </w:r>
          </w:p>
          <w:p w14:paraId="16748552" w14:textId="77777777" w:rsidR="003D5DE3"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 xml:space="preserve">Sistemingai vykdyta ugdymo proceso stebėsena, fiksuota ir analizuota individuali mokinių pažanga,  kartą per 2 mėnesius organizuoti administracijos ir pedagogų pasitarimai, kuriuosi nagrinėti mokinių pasiekimai ir pažanga, sudaromas pagalbos mokiniui veiksmų planas, rezultatai aptarti administracijos, mokytojų tarybos, metodinės tarybos posėdžiuose, individualiai su mokytojais. </w:t>
            </w:r>
          </w:p>
          <w:p w14:paraId="0F2B66B2" w14:textId="77777777" w:rsidR="003D5DE3"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2022 m. rugsėjo 1 d. duomenis Progimnazijoje mokėsi 645 mokiniai. Metiniai mokinių ugdymo(si) pasiekimai buvo įvertinti labai gerai – 14,1 % (2021 m. – 14,5 %), gerai – 50,4 % (2021 m. – 49,5 %), patenkinamai – 35,5 % (2021 m. – 36 %). Padidėjo praleistų pamokų skaičius, t. y. vienas mokinys vidutiniškai praleido 70 pamokų (2021 m. – 30 pamokų), iš jų 90 %</w:t>
            </w:r>
            <w:r w:rsidRPr="007C055D">
              <w:rPr>
                <w:rFonts w:ascii="Times New Roman" w:hAnsi="Times New Roman"/>
                <w:b/>
                <w:bCs/>
                <w:sz w:val="24"/>
                <w:szCs w:val="24"/>
                <w:lang w:val="lt-LT"/>
              </w:rPr>
              <w:t xml:space="preserve"> </w:t>
            </w:r>
            <w:r w:rsidRPr="007C055D">
              <w:rPr>
                <w:rFonts w:ascii="Times New Roman" w:hAnsi="Times New Roman"/>
                <w:sz w:val="24"/>
                <w:szCs w:val="24"/>
                <w:lang w:val="lt-LT"/>
              </w:rPr>
              <w:t>pamokų praleista dėl ligos.</w:t>
            </w:r>
            <w:r w:rsidRPr="007C055D">
              <w:rPr>
                <w:rFonts w:ascii="Times New Roman" w:hAnsi="Times New Roman"/>
                <w:b/>
                <w:bCs/>
                <w:sz w:val="24"/>
                <w:szCs w:val="24"/>
                <w:lang w:val="lt-LT"/>
              </w:rPr>
              <w:t xml:space="preserve"> </w:t>
            </w:r>
            <w:r w:rsidRPr="007C055D">
              <w:rPr>
                <w:rFonts w:ascii="Times New Roman" w:hAnsi="Times New Roman"/>
                <w:sz w:val="24"/>
                <w:szCs w:val="24"/>
                <w:lang w:val="lt-LT"/>
              </w:rPr>
              <w:t xml:space="preserve">Visi 8 klasių mokiniai (88 mok.) sėkmingai baigė pagrindinio ugdymo I dalies programą: iš jų 85 mokiniai ugdymąsi tęsia miesto gimnazijose, 3 – profesinėse mokyklose, 1 mokinys išvyko į užsienį. </w:t>
            </w:r>
          </w:p>
          <w:p w14:paraId="0F0F6E38" w14:textId="77777777" w:rsidR="003D5DE3"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Progimnazijoje veikė 36 neformal</w:t>
            </w:r>
            <w:r>
              <w:rPr>
                <w:rFonts w:ascii="Times New Roman" w:hAnsi="Times New Roman"/>
                <w:sz w:val="24"/>
                <w:szCs w:val="24"/>
                <w:lang w:val="lt-LT"/>
              </w:rPr>
              <w:t>iojo švietimo būreliai (2021 m. –</w:t>
            </w:r>
            <w:r w:rsidRPr="007C055D">
              <w:rPr>
                <w:szCs w:val="24"/>
                <w:lang w:val="lt-LT"/>
              </w:rPr>
              <w:t xml:space="preserve"> </w:t>
            </w:r>
            <w:r w:rsidRPr="007C055D">
              <w:rPr>
                <w:rFonts w:ascii="Times New Roman" w:hAnsi="Times New Roman"/>
                <w:sz w:val="24"/>
                <w:szCs w:val="24"/>
                <w:lang w:val="lt-LT"/>
              </w:rPr>
              <w:t>34), kuriuos lankė 479 mokiniai, t. y. 68,6 % mokinių (2021</w:t>
            </w:r>
            <w:r>
              <w:rPr>
                <w:rFonts w:ascii="Times New Roman" w:hAnsi="Times New Roman"/>
                <w:sz w:val="24"/>
                <w:szCs w:val="24"/>
                <w:lang w:val="lt-LT"/>
              </w:rPr>
              <w:t xml:space="preserve"> </w:t>
            </w:r>
            <w:r w:rsidRPr="007C055D">
              <w:rPr>
                <w:rFonts w:ascii="Times New Roman" w:hAnsi="Times New Roman"/>
                <w:sz w:val="24"/>
                <w:szCs w:val="24"/>
                <w:lang w:val="lt-LT"/>
              </w:rPr>
              <w:t>m.</w:t>
            </w:r>
            <w:r>
              <w:rPr>
                <w:rFonts w:ascii="Times New Roman" w:hAnsi="Times New Roman"/>
                <w:sz w:val="24"/>
                <w:szCs w:val="24"/>
                <w:lang w:val="lt-LT"/>
              </w:rPr>
              <w:t xml:space="preserve"> – </w:t>
            </w:r>
            <w:r w:rsidRPr="007C055D">
              <w:rPr>
                <w:rFonts w:ascii="Times New Roman" w:hAnsi="Times New Roman"/>
                <w:szCs w:val="24"/>
                <w:lang w:val="lt-LT"/>
              </w:rPr>
              <w:t xml:space="preserve">68 </w:t>
            </w:r>
            <w:r w:rsidRPr="007C055D">
              <w:rPr>
                <w:rFonts w:ascii="Times New Roman" w:hAnsi="Times New Roman"/>
                <w:sz w:val="24"/>
                <w:szCs w:val="24"/>
                <w:lang w:val="lt-LT"/>
              </w:rPr>
              <w:t>%</w:t>
            </w:r>
            <w:r w:rsidRPr="007C055D">
              <w:rPr>
                <w:szCs w:val="24"/>
                <w:lang w:val="lt-LT"/>
              </w:rPr>
              <w:t xml:space="preserve"> ).</w:t>
            </w:r>
            <w:r w:rsidRPr="007C055D">
              <w:rPr>
                <w:rFonts w:ascii="Times New Roman" w:hAnsi="Times New Roman"/>
                <w:sz w:val="24"/>
                <w:szCs w:val="24"/>
                <w:lang w:val="lt-LT"/>
              </w:rPr>
              <w:t xml:space="preserve"> 2022 m. 341 mokinys (53,4 %) dalyvavo 38 konkursuose, 12 varžybų, 24 olimpiadose, kurios prisidėjo prie mokinių kūrybiškumo, pažinimo, komunikavimo, sveikos gyvensenos, pilietiškumo kompetencijų stiprinimo, gebėjimo naudotis šiuolaikinėmis technologijomis. 15,8 % Progimnazijos ugdytinių, dalyvavusių tarptautiniuose ir respublikiniuose konkursuose laimėjo 39 prizines vietas (2021 m. –</w:t>
            </w:r>
            <w:r w:rsidRPr="007C055D">
              <w:rPr>
                <w:szCs w:val="24"/>
                <w:lang w:val="lt-LT"/>
              </w:rPr>
              <w:t xml:space="preserve"> </w:t>
            </w:r>
            <w:r w:rsidRPr="007C055D">
              <w:rPr>
                <w:rFonts w:ascii="Times New Roman" w:hAnsi="Times New Roman"/>
                <w:sz w:val="24"/>
                <w:szCs w:val="24"/>
                <w:lang w:val="lt-LT"/>
              </w:rPr>
              <w:t>28 vietas), miesto – 15 prizinių vietų (2021 m. –</w:t>
            </w:r>
            <w:r w:rsidRPr="007C055D">
              <w:rPr>
                <w:szCs w:val="24"/>
                <w:lang w:val="lt-LT"/>
              </w:rPr>
              <w:t xml:space="preserve"> </w:t>
            </w:r>
            <w:r w:rsidRPr="007C055D">
              <w:rPr>
                <w:rFonts w:ascii="Times New Roman" w:hAnsi="Times New Roman"/>
                <w:sz w:val="24"/>
                <w:szCs w:val="24"/>
                <w:lang w:val="lt-LT"/>
              </w:rPr>
              <w:t xml:space="preserve">7 vietas). Išsamenė informacija apie mokinių laimėjimus skelbiama Progimnazijos e. svetainėje </w:t>
            </w:r>
            <w:r>
              <w:rPr>
                <w:rFonts w:asciiTheme="minorHAnsi" w:hAnsiTheme="minorHAnsi"/>
              </w:rPr>
              <w:fldChar w:fldCharType="begin"/>
            </w:r>
            <w:r>
              <w:instrText>HYPERLINK "https://www.masiotas.lt"</w:instrText>
            </w:r>
            <w:r>
              <w:rPr>
                <w:rFonts w:asciiTheme="minorHAnsi" w:hAnsiTheme="minorHAnsi"/>
              </w:rPr>
              <w:fldChar w:fldCharType="separate"/>
            </w:r>
            <w:r w:rsidRPr="007C055D">
              <w:rPr>
                <w:rStyle w:val="Hyperlink"/>
                <w:rFonts w:ascii="Times New Roman" w:hAnsi="Times New Roman"/>
                <w:color w:val="auto"/>
                <w:sz w:val="24"/>
                <w:szCs w:val="24"/>
                <w:lang w:val="lt-LT"/>
              </w:rPr>
              <w:t>https://www.masiotas.lt</w:t>
            </w:r>
            <w:r>
              <w:rPr>
                <w:rStyle w:val="Hyperlink"/>
                <w:rFonts w:ascii="Times New Roman" w:hAnsi="Times New Roman"/>
                <w:color w:val="auto"/>
                <w:sz w:val="24"/>
                <w:szCs w:val="24"/>
                <w:lang w:val="lt-LT"/>
              </w:rPr>
              <w:fldChar w:fldCharType="end"/>
            </w:r>
            <w:r w:rsidRPr="007C055D">
              <w:rPr>
                <w:rFonts w:ascii="Times New Roman" w:hAnsi="Times New Roman"/>
                <w:sz w:val="24"/>
                <w:szCs w:val="24"/>
                <w:lang w:val="lt-LT"/>
              </w:rPr>
              <w:t>.</w:t>
            </w:r>
          </w:p>
          <w:p w14:paraId="5E040C9E" w14:textId="77777777" w:rsidR="003D5DE3"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shd w:val="clear" w:color="auto" w:fill="FFFFFF"/>
                <w:lang w:val="lt-LT"/>
              </w:rPr>
              <w:lastRenderedPageBreak/>
              <w:t>Siekiat gerovės, saugumo, skatinant visavertę asmenybės raišką, buvo nuolat teikiama įvairiapusė pagalba mokiniui.</w:t>
            </w:r>
            <w:r w:rsidRPr="007C055D">
              <w:rPr>
                <w:rFonts w:ascii="Times New Roman" w:hAnsi="Times New Roman"/>
                <w:sz w:val="24"/>
                <w:szCs w:val="24"/>
                <w:lang w:val="lt-LT"/>
              </w:rPr>
              <w:t xml:space="preserve"> Gabiems ir mokymosi sunkumų patiriantiems mokiniams suteiktos 1097 individualios konsultacijos (2021 m. – 1916 konsultacijos). Vaiko gerovės komisija organizavo 31 posėdį (2021 m. – 38 posėdžius). Juose buvo analizuojami mokinių, turinčių laikinų mokymosi sunkumų, specialiųjų ugdymosi poreikių turinčių mokinių (toliau SUP) pasiekimai, kylančios problemos, planuojama pagalba, vertinamas jos efektyvumas, koordinuojama pagalba elgesio ir emocijų išraiškos problemų turintiems vaikams, inicijuojami prevenciniai renginiai, analizuojamos saugumo stiprinimo, mikroklimato klasėse gerinimo galimybės. 44 mokiniams (2021 m. – 48 mokiniams) buvo teikta specialiojo pedagogo, 59 mokiniams (2021 m. – 88 mokiniams) – logopedo pagalba, 304 mokiniams (2021 m. – 319 mokiniams) – socialinė pagalba. Siekiant spręsti mokinių psichologines problemas, gerinti mokinių, jų tėvų mokytojų tarpusavio santykius, teiktos psichologo konsultacijos: 398 – mokiniams (2021 m. – 354 mokiniams), 118 – mokinių tėvams (2021 m. – 57 mokinių tėvams), 101 – pedagogams (2021 m. – 35 pedagogams). Atlikti 1 ir 5 klasių mokinių adaptacijos bei emocinės ir edukacinės mokymosi aplinkos tyrimai, pateiktos rekomendacijos mokytojams ir tėvams kaip spręsti problemas, tobulinti ugdymo procesą. Teikta pagalba naujai atvykusiems mokiniams, organizuota socialinių įgūdžių ugdymo grupė antrų klasių mokiniams, dalyvauta </w:t>
            </w:r>
            <w:r w:rsidRPr="007C055D">
              <w:rPr>
                <w:rFonts w:ascii="Times New Roman" w:eastAsia="Times New Roman" w:hAnsi="Times New Roman"/>
                <w:sz w:val="24"/>
                <w:szCs w:val="24"/>
                <w:lang w:val="lt-LT" w:eastAsia="lt-LT"/>
              </w:rPr>
              <w:t>projekte „Pagalbos mechanizmas vaikams ir jaunuoliams iš pažeidžiamų grupių bei jų šeimos nariams“, pravesti 22 užsiėmimai. </w:t>
            </w:r>
          </w:p>
          <w:p w14:paraId="5C650507" w14:textId="77777777" w:rsidR="003D5DE3" w:rsidRDefault="003D5DE3" w:rsidP="0064209D">
            <w:pPr>
              <w:ind w:firstLine="567"/>
              <w:jc w:val="both"/>
              <w:rPr>
                <w:rFonts w:ascii="Times New Roman" w:hAnsi="Times New Roman"/>
                <w:sz w:val="24"/>
                <w:szCs w:val="24"/>
                <w:lang w:val="lt-LT"/>
              </w:rPr>
            </w:pPr>
            <w:r w:rsidRPr="007C055D">
              <w:rPr>
                <w:rFonts w:ascii="Times New Roman" w:eastAsia="Times New Roman" w:hAnsi="Times New Roman"/>
                <w:sz w:val="24"/>
                <w:szCs w:val="24"/>
                <w:lang w:val="lt-LT" w:eastAsia="lt-LT"/>
              </w:rPr>
              <w:t>2022 m. toliau buvo vykdomos nuoseklios, ilgalaikės prevencinės programos, ugdančios mokinių socialines ir emocines kompetencijas: 5</w:t>
            </w:r>
            <w:r w:rsidRPr="007C055D">
              <w:rPr>
                <w:rFonts w:ascii="Times New Roman" w:hAnsi="Times New Roman"/>
                <w:sz w:val="24"/>
                <w:szCs w:val="24"/>
                <w:lang w:val="lt-LT"/>
              </w:rPr>
              <w:t>–</w:t>
            </w:r>
            <w:r w:rsidRPr="007C055D">
              <w:rPr>
                <w:rFonts w:ascii="Times New Roman" w:eastAsia="Times New Roman" w:hAnsi="Times New Roman"/>
                <w:sz w:val="24"/>
                <w:szCs w:val="24"/>
                <w:lang w:val="lt-LT" w:eastAsia="lt-LT"/>
              </w:rPr>
              <w:t>8 klasėse Lions Quest gyvenimo įgūdžių ugdymo programa ,,Paauglystės kryžkelės</w:t>
            </w:r>
            <w:r w:rsidRPr="007C055D">
              <w:rPr>
                <w:rFonts w:ascii="Times New Roman" w:hAnsi="Times New Roman"/>
                <w:sz w:val="24"/>
                <w:szCs w:val="24"/>
                <w:lang w:val="lt-LT"/>
              </w:rPr>
              <w:t>“, 1–4 klasėse – socialinių emocinių įgūdžių lavinimo ir smurto prevencijos programa „Antrasis žingsnis“, mokyklos interneto svetainėje veikė elektroninė  „Patyčių dėžutė“. </w:t>
            </w:r>
          </w:p>
          <w:p w14:paraId="2A7ED282" w14:textId="77777777" w:rsidR="003D5DE3"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Sėkmingai buvo skatinamas Progimnazijos ir mokinių tėvų bendradarbiavimas, jų įsitraukimas į ugdymo procesą: organizuojami tėvų susirinkimai, individualūs pokalbiai, daug dėmesio skirta sklandžiam komunikavimui elektroniniame dienyne, siųsti sveikinimai, teiktos padėkos, kviečiama dalyvauti Progimnazijos renginiuose. Savo veiklą tęsė Tėvų klubas, kuris mokiniams organizavo „Talentų šou“, kalėdinį renginį „Muzikinė kaukė“ bei aktyviai dalyvavo Progimnazijos 25 metų jubiliejaus renginiuose.</w:t>
            </w:r>
          </w:p>
          <w:p w14:paraId="5E5E8D75" w14:textId="77777777" w:rsidR="003D5DE3" w:rsidRPr="007C055D"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2022 m. Progimnazijos veiklos kokybės įs</w:t>
            </w:r>
            <w:r>
              <w:rPr>
                <w:rFonts w:ascii="Times New Roman" w:hAnsi="Times New Roman"/>
                <w:sz w:val="24"/>
                <w:szCs w:val="24"/>
                <w:lang w:val="lt-LT"/>
              </w:rPr>
              <w:t>ivertinimo darbo grupė išanalizavusi</w:t>
            </w:r>
            <w:r w:rsidRPr="007C055D">
              <w:rPr>
                <w:rFonts w:ascii="Times New Roman" w:hAnsi="Times New Roman"/>
                <w:sz w:val="24"/>
                <w:szCs w:val="24"/>
                <w:lang w:val="lt-LT"/>
              </w:rPr>
              <w:t xml:space="preserve"> </w:t>
            </w:r>
            <w:r w:rsidRPr="007C055D">
              <w:rPr>
                <w:rFonts w:ascii="Times New Roman" w:eastAsia="Times New Roman" w:hAnsi="Times New Roman"/>
                <w:sz w:val="24"/>
                <w:szCs w:val="24"/>
                <w:lang w:val="lt-LT"/>
              </w:rPr>
              <w:t>veiklos kokybės rodiklį „</w:t>
            </w:r>
            <w:r>
              <w:rPr>
                <w:rFonts w:ascii="Times New Roman" w:eastAsia="Times New Roman" w:hAnsi="Times New Roman"/>
                <w:sz w:val="24"/>
                <w:szCs w:val="24"/>
                <w:lang w:val="lt-LT"/>
              </w:rPr>
              <w:t>Mokyklos pasiekimai ir pažanga“ nustatė, kad vertinta</w:t>
            </w:r>
            <w:r w:rsidRPr="007C055D">
              <w:rPr>
                <w:rFonts w:ascii="Times New Roman" w:hAnsi="Times New Roman"/>
                <w:sz w:val="24"/>
                <w:szCs w:val="24"/>
                <w:lang w:val="lt-LT"/>
              </w:rPr>
              <w:t xml:space="preserve"> sritis atitinka 4 lygį (labai gerai).</w:t>
            </w:r>
            <w:r>
              <w:rPr>
                <w:rFonts w:ascii="Times New Roman" w:hAnsi="Times New Roman"/>
                <w:sz w:val="24"/>
                <w:szCs w:val="24"/>
                <w:lang w:val="lt-LT"/>
              </w:rPr>
              <w:t xml:space="preserve"> </w:t>
            </w:r>
            <w:r w:rsidRPr="007C055D">
              <w:rPr>
                <w:rFonts w:ascii="Times New Roman" w:hAnsi="Times New Roman"/>
                <w:sz w:val="24"/>
                <w:szCs w:val="24"/>
                <w:lang w:val="lt-LT"/>
              </w:rPr>
              <w:t xml:space="preserve">Tarptautinės mokytojo dienos proga Klaipėdos </w:t>
            </w:r>
            <w:r>
              <w:rPr>
                <w:rFonts w:ascii="Times New Roman" w:hAnsi="Times New Roman"/>
                <w:sz w:val="24"/>
                <w:szCs w:val="24"/>
                <w:lang w:val="lt-LT"/>
              </w:rPr>
              <w:t xml:space="preserve">miesto savivaldybės </w:t>
            </w:r>
            <w:r w:rsidRPr="007C055D">
              <w:rPr>
                <w:rFonts w:ascii="Times New Roman" w:hAnsi="Times New Roman"/>
                <w:sz w:val="24"/>
                <w:szCs w:val="24"/>
                <w:lang w:val="lt-LT"/>
              </w:rPr>
              <w:t xml:space="preserve">administracijos švietimo skyrius Progimnazijai skyrė nominaciją „Už ugdymo proceso tobulinimą“. </w:t>
            </w:r>
          </w:p>
          <w:p w14:paraId="6C659F3D" w14:textId="77777777" w:rsidR="003D5DE3" w:rsidRDefault="003D5DE3" w:rsidP="0064209D">
            <w:pPr>
              <w:tabs>
                <w:tab w:val="left" w:pos="990"/>
              </w:tabs>
              <w:ind w:firstLine="567"/>
              <w:jc w:val="both"/>
              <w:rPr>
                <w:rFonts w:ascii="Times New Roman" w:eastAsia="Times New Roman" w:hAnsi="Times New Roman"/>
                <w:sz w:val="24"/>
                <w:szCs w:val="24"/>
                <w:lang w:val="lt-LT" w:eastAsia="lt-LT"/>
              </w:rPr>
            </w:pPr>
            <w:r w:rsidRPr="007C055D">
              <w:rPr>
                <w:rFonts w:ascii="Times New Roman" w:hAnsi="Times New Roman"/>
                <w:sz w:val="24"/>
                <w:szCs w:val="24"/>
                <w:lang w:val="lt-LT"/>
              </w:rPr>
              <w:t>– antruoju Veiklos plano uždaviniu buvo siekiama sudaryti sąlygas Progimnazijos pedagogų profesiniam tobulėjimui, lyderystės augimui, todėl</w:t>
            </w:r>
            <w:r w:rsidRPr="007C055D">
              <w:rPr>
                <w:rFonts w:ascii="Times New Roman" w:eastAsia="Times New Roman" w:hAnsi="Times New Roman"/>
                <w:sz w:val="24"/>
                <w:szCs w:val="24"/>
                <w:lang w:val="lt-LT" w:eastAsia="lt-LT"/>
              </w:rPr>
              <w:t xml:space="preserve"> pastebimai suaktyvėjo Progimnazijos pedagogų tarpusavi</w:t>
            </w:r>
            <w:r>
              <w:rPr>
                <w:rFonts w:ascii="Times New Roman" w:eastAsia="Times New Roman" w:hAnsi="Times New Roman"/>
                <w:sz w:val="24"/>
                <w:szCs w:val="24"/>
                <w:lang w:val="lt-LT" w:eastAsia="lt-LT"/>
              </w:rPr>
              <w:t xml:space="preserve">o bendradarbiavimas: buvo vestos </w:t>
            </w:r>
            <w:r w:rsidRPr="007C055D">
              <w:rPr>
                <w:rFonts w:ascii="Times New Roman" w:eastAsia="Times New Roman" w:hAnsi="Times New Roman"/>
                <w:sz w:val="24"/>
                <w:szCs w:val="24"/>
                <w:lang w:val="lt-LT" w:eastAsia="lt-LT"/>
              </w:rPr>
              <w:t>ir metodinėse grupėse bei individualiai aptartos</w:t>
            </w:r>
            <w:r w:rsidRPr="007C055D">
              <w:rPr>
                <w:rFonts w:ascii="Times New Roman" w:eastAsia="Times New Roman" w:hAnsi="Times New Roman"/>
                <w:b/>
                <w:bCs/>
                <w:sz w:val="24"/>
                <w:szCs w:val="24"/>
                <w:lang w:val="lt-LT" w:eastAsia="lt-LT"/>
              </w:rPr>
              <w:t xml:space="preserve"> </w:t>
            </w:r>
            <w:r w:rsidRPr="007C055D">
              <w:rPr>
                <w:rFonts w:ascii="Times New Roman" w:eastAsia="Times New Roman" w:hAnsi="Times New Roman"/>
                <w:sz w:val="24"/>
                <w:szCs w:val="24"/>
                <w:lang w:val="lt-LT" w:eastAsia="lt-LT"/>
              </w:rPr>
              <w:t xml:space="preserve">47 atviros pamokos (2021 m. </w:t>
            </w:r>
            <w:r w:rsidRPr="007C055D">
              <w:rPr>
                <w:rFonts w:ascii="Times New Roman" w:hAnsi="Times New Roman"/>
                <w:sz w:val="24"/>
                <w:szCs w:val="24"/>
                <w:lang w:val="lt-LT"/>
              </w:rPr>
              <w:t>–</w:t>
            </w:r>
            <w:r w:rsidRPr="007C055D">
              <w:rPr>
                <w:szCs w:val="24"/>
                <w:lang w:val="lt-LT"/>
              </w:rPr>
              <w:t xml:space="preserve"> </w:t>
            </w:r>
            <w:r>
              <w:rPr>
                <w:rFonts w:ascii="Times New Roman" w:eastAsia="Times New Roman" w:hAnsi="Times New Roman"/>
                <w:sz w:val="24"/>
                <w:szCs w:val="24"/>
                <w:lang w:val="lt-LT" w:eastAsia="lt-LT"/>
              </w:rPr>
              <w:t>20 pamokų), organizuoti</w:t>
            </w:r>
            <w:r w:rsidRPr="007C055D">
              <w:rPr>
                <w:rFonts w:ascii="Times New Roman" w:eastAsia="Times New Roman" w:hAnsi="Times New Roman"/>
                <w:sz w:val="24"/>
                <w:szCs w:val="24"/>
                <w:lang w:val="lt-LT" w:eastAsia="lt-LT"/>
              </w:rPr>
              <w:t xml:space="preserve"> 24 mokykliniai renginiai, 14 renginių, skirtų Klaipėd</w:t>
            </w:r>
            <w:r>
              <w:rPr>
                <w:rFonts w:ascii="Times New Roman" w:eastAsia="Times New Roman" w:hAnsi="Times New Roman"/>
                <w:sz w:val="24"/>
                <w:szCs w:val="24"/>
                <w:lang w:val="lt-LT" w:eastAsia="lt-LT"/>
              </w:rPr>
              <w:t xml:space="preserve">os 770 metų jubiliejui paminėti ir </w:t>
            </w:r>
            <w:r w:rsidRPr="007C055D">
              <w:rPr>
                <w:rFonts w:ascii="Times New Roman" w:eastAsia="Times New Roman" w:hAnsi="Times New Roman"/>
                <w:sz w:val="24"/>
                <w:szCs w:val="24"/>
                <w:lang w:val="lt-LT" w:eastAsia="lt-LT"/>
              </w:rPr>
              <w:t xml:space="preserve"> 22 akcijos. Progimnazijos pedagogai tobulino didaktines ir bendrąsias kompetencijas, pagilino žinias apie šiuolaikinių metodų taikymą, pamokos vadybą, vertinimą ir įsivertinimą, įtraukujį ugdymą, STEAM veiklų organizavimą, domėjosi atnaujintomis bendrojo ugdymo programomis, 1 mokytojas ir Progimnazijos direktorė dalyvavo tarptautiniuose mokymuose </w:t>
            </w:r>
            <w:r>
              <w:rPr>
                <w:rFonts w:ascii="Times New Roman" w:eastAsia="Times New Roman" w:hAnsi="Times New Roman"/>
                <w:sz w:val="24"/>
                <w:szCs w:val="24"/>
                <w:lang w:val="lt-LT" w:eastAsia="lt-LT"/>
              </w:rPr>
              <w:t>(</w:t>
            </w:r>
            <w:r w:rsidRPr="007C055D">
              <w:rPr>
                <w:rFonts w:ascii="Times New Roman" w:eastAsia="Times New Roman" w:hAnsi="Times New Roman"/>
                <w:sz w:val="24"/>
                <w:szCs w:val="24"/>
                <w:lang w:val="lt-LT" w:eastAsia="lt-LT"/>
              </w:rPr>
              <w:t>Italijoje ir Ispanijoje</w:t>
            </w:r>
            <w:r>
              <w:rPr>
                <w:rFonts w:ascii="Times New Roman" w:eastAsia="Times New Roman" w:hAnsi="Times New Roman"/>
                <w:sz w:val="24"/>
                <w:szCs w:val="24"/>
                <w:lang w:val="lt-LT" w:eastAsia="lt-LT"/>
              </w:rPr>
              <w:t>)</w:t>
            </w:r>
            <w:r w:rsidRPr="007C055D">
              <w:rPr>
                <w:rFonts w:ascii="Times New Roman" w:eastAsia="Times New Roman" w:hAnsi="Times New Roman"/>
                <w:sz w:val="24"/>
                <w:szCs w:val="24"/>
                <w:lang w:val="lt-LT" w:eastAsia="lt-LT"/>
              </w:rPr>
              <w:t xml:space="preserve">. Per metus vidutiniškai pedagogai tobulino savo kvalifikaciją 9,6 dienas. 2 pedagogai buvo atestuoti vyr. mokytojo kvalifikacinei kategorijai. </w:t>
            </w:r>
          </w:p>
          <w:p w14:paraId="119AC9EB" w14:textId="77777777" w:rsidR="003D5DE3" w:rsidRDefault="003D5DE3" w:rsidP="0064209D">
            <w:pPr>
              <w:tabs>
                <w:tab w:val="left" w:pos="990"/>
              </w:tabs>
              <w:ind w:firstLine="567"/>
              <w:jc w:val="both"/>
              <w:rPr>
                <w:rFonts w:ascii="Times New Roman" w:eastAsia="Times New Roman" w:hAnsi="Times New Roman"/>
                <w:sz w:val="24"/>
                <w:szCs w:val="24"/>
                <w:lang w:val="lt-LT" w:eastAsia="lt-LT"/>
              </w:rPr>
            </w:pPr>
            <w:r w:rsidRPr="007C055D">
              <w:rPr>
                <w:rFonts w:ascii="Times New Roman" w:eastAsia="Times New Roman" w:hAnsi="Times New Roman"/>
                <w:sz w:val="24"/>
                <w:szCs w:val="24"/>
                <w:lang w:val="lt-LT" w:eastAsia="lt-LT"/>
              </w:rPr>
              <w:t xml:space="preserve">Progimnazijos pedagogai dalindamiesi gerąja darbo patirtimi, organizavo 2 konferencijas : </w:t>
            </w:r>
            <w:r w:rsidRPr="007C055D">
              <w:rPr>
                <w:rFonts w:ascii="Times New Roman" w:hAnsi="Times New Roman"/>
                <w:sz w:val="24"/>
                <w:szCs w:val="24"/>
                <w:lang w:val="lt-LT"/>
              </w:rPr>
              <w:t>„</w:t>
            </w:r>
            <w:r w:rsidRPr="007C055D">
              <w:rPr>
                <w:rFonts w:ascii="Times New Roman" w:eastAsia="Times New Roman" w:hAnsi="Times New Roman"/>
                <w:sz w:val="24"/>
                <w:szCs w:val="24"/>
                <w:lang w:val="lt-LT" w:eastAsia="lt-LT"/>
              </w:rPr>
              <w:t>Mano geriausia pamoka</w:t>
            </w:r>
            <w:r w:rsidRPr="007C055D">
              <w:rPr>
                <w:rFonts w:ascii="Times New Roman" w:hAnsi="Times New Roman"/>
                <w:sz w:val="24"/>
                <w:szCs w:val="24"/>
                <w:lang w:val="lt-LT"/>
              </w:rPr>
              <w:t>“</w:t>
            </w:r>
            <w:r w:rsidRPr="007C055D">
              <w:rPr>
                <w:rFonts w:ascii="Times New Roman" w:eastAsia="Times New Roman" w:hAnsi="Times New Roman"/>
                <w:sz w:val="24"/>
                <w:szCs w:val="24"/>
                <w:lang w:val="lt-LT" w:eastAsia="lt-LT"/>
              </w:rPr>
              <w:t xml:space="preserve">  ir </w:t>
            </w:r>
            <w:r w:rsidRPr="007C055D">
              <w:rPr>
                <w:rFonts w:ascii="Times New Roman" w:hAnsi="Times New Roman"/>
                <w:sz w:val="24"/>
                <w:szCs w:val="24"/>
                <w:lang w:val="lt-LT"/>
              </w:rPr>
              <w:t>„</w:t>
            </w:r>
            <w:r w:rsidRPr="007C055D">
              <w:rPr>
                <w:rFonts w:ascii="Times New Roman" w:eastAsia="Times New Roman" w:hAnsi="Times New Roman"/>
                <w:sz w:val="24"/>
                <w:szCs w:val="24"/>
                <w:lang w:val="lt-LT" w:eastAsia="lt-LT"/>
              </w:rPr>
              <w:t>Didžiuojuosi, kad esu mokytojas</w:t>
            </w:r>
            <w:r>
              <w:rPr>
                <w:rFonts w:ascii="Times New Roman" w:hAnsi="Times New Roman"/>
                <w:sz w:val="24"/>
                <w:szCs w:val="24"/>
                <w:lang w:val="lt-LT"/>
              </w:rPr>
              <w:t>“, suorganizavo</w:t>
            </w:r>
            <w:r w:rsidRPr="007C055D">
              <w:rPr>
                <w:rFonts w:ascii="Times New Roman" w:hAnsi="Times New Roman"/>
                <w:sz w:val="24"/>
                <w:szCs w:val="24"/>
                <w:lang w:val="lt-LT"/>
              </w:rPr>
              <w:t xml:space="preserve"> 3 autorinius seminarus, skaitė 21 pranešimą miesto, šalies ir tarptautinėse konferencijose (2021 m. –</w:t>
            </w:r>
            <w:r w:rsidRPr="007C055D">
              <w:rPr>
                <w:szCs w:val="24"/>
                <w:lang w:val="lt-LT"/>
              </w:rPr>
              <w:t xml:space="preserve"> </w:t>
            </w:r>
            <w:r w:rsidRPr="007C055D">
              <w:rPr>
                <w:rFonts w:ascii="Times New Roman" w:hAnsi="Times New Roman"/>
                <w:sz w:val="24"/>
                <w:szCs w:val="24"/>
                <w:lang w:val="lt-LT"/>
              </w:rPr>
              <w:t xml:space="preserve">29), 1 pedagogas dalyvavo brandos egzaminų vertinimo, 8 – miesto olimpiadų ir konkursų vertinimo komisijose, 12 – vadovavo Klaipėdos universiteto studentų praktikai. </w:t>
            </w:r>
          </w:p>
          <w:p w14:paraId="7A40FF6E" w14:textId="77777777" w:rsidR="003D5DE3" w:rsidRPr="00D06206" w:rsidRDefault="003D5DE3" w:rsidP="0064209D">
            <w:pPr>
              <w:tabs>
                <w:tab w:val="left" w:pos="990"/>
              </w:tabs>
              <w:ind w:firstLine="567"/>
              <w:jc w:val="both"/>
              <w:rPr>
                <w:rFonts w:ascii="Times New Roman" w:eastAsia="Times New Roman" w:hAnsi="Times New Roman"/>
                <w:sz w:val="24"/>
                <w:szCs w:val="24"/>
                <w:lang w:val="lt-LT" w:eastAsia="lt-LT"/>
              </w:rPr>
            </w:pPr>
            <w:r w:rsidRPr="007C055D">
              <w:rPr>
                <w:rFonts w:ascii="Times New Roman" w:hAnsi="Times New Roman"/>
                <w:sz w:val="24"/>
                <w:szCs w:val="24"/>
                <w:lang w:val="lt-LT"/>
              </w:rPr>
              <w:lastRenderedPageBreak/>
              <w:t xml:space="preserve">Už gerą darbą ir gerus ugdytinių pasiekimus visi pedagogai Progimnazijos 25 metų jubiliejaus proga buvo apdovanoti Progimnazijos administracijos padėkos raštais, o metų pabaigoje iš sutaupytų lėšų </w:t>
            </w:r>
            <w:r>
              <w:rPr>
                <w:rFonts w:ascii="Times New Roman" w:hAnsi="Times New Roman"/>
                <w:sz w:val="24"/>
                <w:szCs w:val="24"/>
                <w:lang w:val="lt-LT"/>
              </w:rPr>
              <w:t xml:space="preserve">– </w:t>
            </w:r>
            <w:r w:rsidRPr="007C055D">
              <w:rPr>
                <w:rFonts w:ascii="Times New Roman" w:hAnsi="Times New Roman"/>
                <w:sz w:val="24"/>
                <w:szCs w:val="24"/>
                <w:lang w:val="lt-LT"/>
              </w:rPr>
              <w:t xml:space="preserve">paskirtos piniginės premijos.  </w:t>
            </w:r>
          </w:p>
          <w:p w14:paraId="2A940E9B" w14:textId="77777777" w:rsidR="003D5DE3" w:rsidRPr="006618C0" w:rsidRDefault="003D5DE3" w:rsidP="0064209D">
            <w:pPr>
              <w:ind w:firstLine="567"/>
              <w:jc w:val="both"/>
              <w:rPr>
                <w:rFonts w:ascii="Times New Roman" w:hAnsi="Times New Roman"/>
                <w:sz w:val="24"/>
                <w:szCs w:val="24"/>
                <w:lang w:val="lt-LT"/>
              </w:rPr>
            </w:pPr>
            <w:r w:rsidRPr="007C055D">
              <w:rPr>
                <w:rFonts w:ascii="Times New Roman" w:hAnsi="Times New Roman"/>
                <w:sz w:val="24"/>
                <w:szCs w:val="24"/>
                <w:lang w:val="lt-LT"/>
              </w:rPr>
              <w:t>–</w:t>
            </w:r>
            <w:r>
              <w:t xml:space="preserve"> </w:t>
            </w:r>
            <w:r w:rsidRPr="00AB32C4">
              <w:rPr>
                <w:rFonts w:ascii="Times New Roman" w:hAnsi="Times New Roman"/>
                <w:sz w:val="24"/>
                <w:szCs w:val="24"/>
                <w:lang w:val="lt-LT"/>
              </w:rPr>
              <w:t>įgyvendinant trečiąjį Veiklos plano uždavinį – stiprinti bendruomenės narių lyderystę, dialogą, mokymąsi vieniems iš kitų ir sutelktumą – Progimnazijoje organizuotos akcijos, tradiciniai renginiai, puoselėtos katalikiškos vertybės: organizuota darbuotojų piligriminė kelionė į Telšius,  susitikimas su  Telšių vyskupu A. Jurevičiumi, mokinių išvykos į Didžiuosius Šiluvos Švč. Mergelės Marijos gimimo ir Didžiuosius Žemaičių Kalvarijos atlaidus,  šv. Mišios, Advento, Gavėnios rekolekcijos mokiniams ir mokytojams.</w:t>
            </w:r>
            <w:r>
              <w:rPr>
                <w:rFonts w:ascii="Times New Roman" w:hAnsi="Times New Roman"/>
                <w:sz w:val="24"/>
                <w:szCs w:val="24"/>
                <w:lang w:val="lt-LT"/>
              </w:rPr>
              <w:t xml:space="preserve"> </w:t>
            </w:r>
            <w:r w:rsidRPr="007C055D">
              <w:rPr>
                <w:rFonts w:ascii="Times New Roman" w:hAnsi="Times New Roman"/>
                <w:sz w:val="24"/>
                <w:szCs w:val="24"/>
                <w:lang w:val="lt-LT"/>
              </w:rPr>
              <w:t xml:space="preserve">Progimnazijos narių bendruomeniškumas ir sutelktumas ypač </w:t>
            </w:r>
            <w:r w:rsidRPr="006618C0">
              <w:rPr>
                <w:rFonts w:ascii="Times New Roman" w:hAnsi="Times New Roman"/>
                <w:sz w:val="24"/>
                <w:szCs w:val="24"/>
                <w:lang w:val="lt-LT"/>
              </w:rPr>
              <w:t xml:space="preserve">atsiskleidė ruošiantis ir švenčiant mokyklos veiklos 25 metų jubiliejų. </w:t>
            </w:r>
          </w:p>
          <w:p w14:paraId="0D011CAA" w14:textId="77777777" w:rsidR="003D5DE3" w:rsidRPr="007C055D" w:rsidRDefault="003D5DE3" w:rsidP="0064209D">
            <w:pPr>
              <w:ind w:firstLine="567"/>
              <w:jc w:val="both"/>
              <w:rPr>
                <w:rFonts w:ascii="Times New Roman" w:hAnsi="Times New Roman"/>
                <w:sz w:val="24"/>
                <w:szCs w:val="24"/>
                <w:lang w:val="lt-LT"/>
              </w:rPr>
            </w:pPr>
            <w:r w:rsidRPr="006618C0">
              <w:rPr>
                <w:rFonts w:ascii="Times New Roman" w:hAnsi="Times New Roman"/>
                <w:sz w:val="24"/>
                <w:szCs w:val="24"/>
                <w:lang w:val="lt-LT"/>
              </w:rPr>
              <w:t xml:space="preserve">Progimnazijos bendradarbiavimas su socialiniais partneriais: Telšių vyskupijos kurija, Vilniaus Prano Mašioto ir Kauno Prano Mašioto pradinėmis mokyklomis, Vilniaus Vytės Nemunėlio pradinėmis mokyklomis, Klaipėdos šv. Juozapo Darbininko bažnyčia, Caritu, Klaipėdos miesto šeimos centru, Klaipėdos universitetu, Klaipėdos miesto pedagogų švietimo ir kultūros centru (toliau – KPŠKC), miesto ugdymo, kultūros ir sporto įstaigomis. Aktyvi buvo Progimnazijos savivaldos veikla: organizuota 10 mokytojų tarybos, 5 Progimnazijos tarybos, 2 Tėvų tarybos  posėdžiai, aktyviai veikė </w:t>
            </w:r>
            <w:r w:rsidRPr="006618C0">
              <w:rPr>
                <w:rFonts w:ascii="Times New Roman" w:hAnsi="Times New Roman"/>
                <w:color w:val="000000" w:themeColor="text1"/>
                <w:sz w:val="24"/>
                <w:szCs w:val="24"/>
                <w:lang w:val="lt-LT"/>
              </w:rPr>
              <w:t>Mokinių</w:t>
            </w:r>
            <w:r w:rsidRPr="006618C0">
              <w:rPr>
                <w:rFonts w:ascii="Times New Roman" w:hAnsi="Times New Roman"/>
                <w:sz w:val="24"/>
                <w:szCs w:val="24"/>
                <w:lang w:val="lt-LT"/>
              </w:rPr>
              <w:t xml:space="preserve"> taryba, kuri inicijavo akcijas, renginius visai Progimnazijos bendruomenei.</w:t>
            </w:r>
            <w:r w:rsidRPr="007C055D">
              <w:rPr>
                <w:rFonts w:ascii="Times New Roman" w:hAnsi="Times New Roman"/>
                <w:sz w:val="24"/>
                <w:szCs w:val="24"/>
                <w:lang w:val="lt-LT"/>
              </w:rPr>
              <w:t xml:space="preserve"> </w:t>
            </w:r>
          </w:p>
          <w:p w14:paraId="7EB55CC0" w14:textId="77777777" w:rsidR="003D5DE3" w:rsidRPr="007C055D" w:rsidRDefault="003D5DE3" w:rsidP="0064209D">
            <w:pPr>
              <w:ind w:firstLine="603"/>
              <w:jc w:val="both"/>
              <w:rPr>
                <w:rFonts w:ascii="Times New Roman" w:hAnsi="Times New Roman"/>
                <w:bCs/>
                <w:sz w:val="24"/>
                <w:szCs w:val="24"/>
                <w:lang w:val="lt-LT"/>
              </w:rPr>
            </w:pPr>
            <w:r>
              <w:rPr>
                <w:rFonts w:ascii="Times New Roman" w:hAnsi="Times New Roman"/>
                <w:sz w:val="24"/>
                <w:szCs w:val="24"/>
                <w:lang w:val="lt-LT"/>
              </w:rPr>
              <w:t>–</w:t>
            </w:r>
            <w:r w:rsidRPr="007C055D">
              <w:rPr>
                <w:szCs w:val="24"/>
                <w:lang w:val="lt-LT"/>
              </w:rPr>
              <w:t xml:space="preserve"> </w:t>
            </w:r>
            <w:r w:rsidRPr="007C055D">
              <w:rPr>
                <w:rFonts w:ascii="Times New Roman" w:hAnsi="Times New Roman"/>
                <w:sz w:val="24"/>
                <w:szCs w:val="24"/>
                <w:lang w:val="lt-LT"/>
              </w:rPr>
              <w:t>siekiant Strategin</w:t>
            </w:r>
            <w:r>
              <w:rPr>
                <w:rFonts w:ascii="Times New Roman" w:hAnsi="Times New Roman"/>
                <w:sz w:val="24"/>
                <w:szCs w:val="24"/>
                <w:lang w:val="lt-LT"/>
              </w:rPr>
              <w:t>io veiklos plano antrojo tikslo –</w:t>
            </w:r>
            <w:r w:rsidRPr="007C055D">
              <w:rPr>
                <w:szCs w:val="24"/>
                <w:lang w:val="lt-LT"/>
              </w:rPr>
              <w:t xml:space="preserve"> </w:t>
            </w:r>
            <w:r w:rsidRPr="007C055D">
              <w:rPr>
                <w:rFonts w:ascii="Times New Roman" w:hAnsi="Times New Roman"/>
                <w:sz w:val="24"/>
                <w:szCs w:val="24"/>
                <w:lang w:val="lt-LT"/>
              </w:rPr>
              <w:t>modernizuoti ir puoselėti saugią ugdymo(si) aplinką</w:t>
            </w:r>
            <w:r w:rsidRPr="007C055D">
              <w:rPr>
                <w:rFonts w:ascii="Times New Roman" w:hAnsi="Times New Roman"/>
                <w:bCs/>
                <w:sz w:val="24"/>
                <w:szCs w:val="24"/>
                <w:lang w:val="lt-LT"/>
              </w:rPr>
              <w:t xml:space="preserve"> – atnaujintas biologijos kabinetas (</w:t>
            </w:r>
            <w:r w:rsidRPr="007C055D">
              <w:rPr>
                <w:rFonts w:ascii="Times New Roman" w:hAnsi="Times New Roman"/>
                <w:color w:val="000000"/>
                <w:sz w:val="24"/>
                <w:szCs w:val="24"/>
                <w:shd w:val="clear" w:color="auto" w:fill="FFFFFF"/>
                <w:lang w:val="lt-LT"/>
              </w:rPr>
              <w:t>8,1</w:t>
            </w:r>
            <w:r w:rsidRPr="007C055D">
              <w:rPr>
                <w:rFonts w:ascii="Times New Roman" w:hAnsi="Times New Roman"/>
                <w:bCs/>
                <w:sz w:val="24"/>
                <w:szCs w:val="24"/>
                <w:lang w:val="lt-LT"/>
              </w:rPr>
              <w:t xml:space="preserve"> tūkst. Eur</w:t>
            </w:r>
            <w:r w:rsidRPr="007C055D">
              <w:rPr>
                <w:rFonts w:ascii="Times New Roman" w:hAnsi="Times New Roman"/>
                <w:color w:val="000000"/>
                <w:sz w:val="24"/>
                <w:szCs w:val="24"/>
                <w:shd w:val="clear" w:color="auto" w:fill="FFFFFF"/>
                <w:lang w:val="lt-LT"/>
              </w:rPr>
              <w:t xml:space="preserve"> )</w:t>
            </w:r>
            <w:r w:rsidRPr="007C055D">
              <w:rPr>
                <w:rFonts w:ascii="Times New Roman" w:hAnsi="Times New Roman"/>
                <w:bCs/>
                <w:sz w:val="24"/>
                <w:szCs w:val="24"/>
                <w:lang w:val="lt-LT"/>
              </w:rPr>
              <w:t>, įsigyti 5 interaktyvūs ekranai (15,5 tūkst. Eur), 3 daugiafunkciniai kopijavimo aparatai (4,3 tūkst. Eur), 3 nešiojami kompiuteriai (1,3 tūkst. Eur),</w:t>
            </w:r>
            <w:r w:rsidRPr="007C055D">
              <w:rPr>
                <w:rFonts w:ascii="Times New Roman" w:hAnsi="Times New Roman"/>
                <w:color w:val="000000"/>
                <w:sz w:val="24"/>
                <w:szCs w:val="24"/>
                <w:shd w:val="clear" w:color="auto" w:fill="FFFFFF"/>
                <w:lang w:val="lt-LT"/>
              </w:rPr>
              <w:t xml:space="preserve"> 4 stendai (0,7 tūkst. Eur)</w:t>
            </w:r>
            <w:r w:rsidRPr="007C055D">
              <w:rPr>
                <w:rFonts w:ascii="Times New Roman" w:hAnsi="Times New Roman"/>
                <w:sz w:val="24"/>
                <w:szCs w:val="24"/>
                <w:lang w:val="lt-LT"/>
              </w:rPr>
              <w:t>, 60 lempų su judesio davikliais (0, 9</w:t>
            </w:r>
            <w:r w:rsidRPr="007C055D">
              <w:rPr>
                <w:rFonts w:ascii="Times New Roman" w:hAnsi="Times New Roman"/>
                <w:color w:val="000000"/>
                <w:sz w:val="24"/>
                <w:szCs w:val="24"/>
                <w:shd w:val="clear" w:color="auto" w:fill="FFFFFF"/>
                <w:lang w:val="lt-LT"/>
              </w:rPr>
              <w:t xml:space="preserve"> tūkst. Eur), muzik</w:t>
            </w:r>
            <w:r>
              <w:rPr>
                <w:rFonts w:ascii="Times New Roman" w:hAnsi="Times New Roman"/>
                <w:color w:val="000000"/>
                <w:sz w:val="24"/>
                <w:szCs w:val="24"/>
                <w:shd w:val="clear" w:color="auto" w:fill="FFFFFF"/>
                <w:lang w:val="lt-LT"/>
              </w:rPr>
              <w:t>os priemonės (0,1 tūkst. Eur</w:t>
            </w:r>
            <w:r w:rsidRPr="007C055D">
              <w:rPr>
                <w:rFonts w:ascii="Times New Roman" w:hAnsi="Times New Roman"/>
                <w:sz w:val="24"/>
                <w:szCs w:val="24"/>
                <w:lang w:val="lt-LT"/>
              </w:rPr>
              <w:t>), sporto inventori</w:t>
            </w:r>
            <w:r>
              <w:rPr>
                <w:rFonts w:ascii="Times New Roman" w:hAnsi="Times New Roman"/>
                <w:sz w:val="24"/>
                <w:szCs w:val="24"/>
                <w:lang w:val="lt-LT"/>
              </w:rPr>
              <w:t>a</w:t>
            </w:r>
            <w:r w:rsidRPr="007C055D">
              <w:rPr>
                <w:rFonts w:ascii="Times New Roman" w:hAnsi="Times New Roman"/>
                <w:sz w:val="24"/>
                <w:szCs w:val="24"/>
                <w:lang w:val="lt-LT"/>
              </w:rPr>
              <w:t>us (</w:t>
            </w:r>
            <w:r w:rsidRPr="007C055D">
              <w:rPr>
                <w:rFonts w:ascii="Times New Roman" w:hAnsi="Times New Roman"/>
                <w:color w:val="000000"/>
                <w:sz w:val="24"/>
                <w:szCs w:val="24"/>
                <w:shd w:val="clear" w:color="auto" w:fill="FFFFFF"/>
                <w:lang w:val="lt-LT"/>
              </w:rPr>
              <w:t>0,7 tūkst. Eur</w:t>
            </w:r>
            <w:r w:rsidRPr="007C055D">
              <w:rPr>
                <w:rFonts w:ascii="Times New Roman" w:hAnsi="Times New Roman"/>
                <w:sz w:val="24"/>
                <w:szCs w:val="24"/>
                <w:lang w:val="lt-LT"/>
              </w:rPr>
              <w:t>), „Eduka“ ir „Ema“ skaitmeninės programos (13,4 tūkst. Eur), vadovėliai (3,1 tūkst. Eur), grožinės litera</w:t>
            </w:r>
            <w:r>
              <w:rPr>
                <w:rFonts w:ascii="Times New Roman" w:hAnsi="Times New Roman"/>
                <w:sz w:val="24"/>
                <w:szCs w:val="24"/>
                <w:lang w:val="lt-LT"/>
              </w:rPr>
              <w:t xml:space="preserve">tūros kūriniai (0,4 tūkst. Eur). Atnaujinti kabinetų durų </w:t>
            </w:r>
            <w:r w:rsidRPr="007C055D">
              <w:rPr>
                <w:rFonts w:ascii="Times New Roman" w:hAnsi="Times New Roman"/>
                <w:sz w:val="24"/>
                <w:szCs w:val="24"/>
                <w:lang w:val="lt-LT"/>
              </w:rPr>
              <w:t>užrašai</w:t>
            </w:r>
            <w:r>
              <w:rPr>
                <w:rFonts w:ascii="Times New Roman" w:hAnsi="Times New Roman"/>
                <w:sz w:val="24"/>
                <w:szCs w:val="24"/>
                <w:lang w:val="lt-LT"/>
              </w:rPr>
              <w:t xml:space="preserve"> </w:t>
            </w:r>
            <w:r w:rsidRPr="007C055D">
              <w:rPr>
                <w:rFonts w:ascii="Times New Roman" w:hAnsi="Times New Roman"/>
                <w:sz w:val="24"/>
                <w:szCs w:val="24"/>
                <w:lang w:val="lt-LT"/>
              </w:rPr>
              <w:t xml:space="preserve">(0,6 tūkst. Eur), užbaigta Progimnazijos išorinės pastato dalies rekonstrukcija. </w:t>
            </w:r>
          </w:p>
          <w:p w14:paraId="0EB43E65" w14:textId="77777777" w:rsidR="003D5DE3" w:rsidRPr="007C055D" w:rsidRDefault="003D5DE3" w:rsidP="0064209D">
            <w:pPr>
              <w:ind w:firstLine="603"/>
              <w:jc w:val="both"/>
              <w:rPr>
                <w:rFonts w:ascii="Times New Roman" w:hAnsi="Times New Roman"/>
                <w:sz w:val="24"/>
                <w:szCs w:val="24"/>
                <w:lang w:val="lt-LT"/>
              </w:rPr>
            </w:pPr>
            <w:r w:rsidRPr="007C055D">
              <w:rPr>
                <w:rFonts w:ascii="Times New Roman" w:hAnsi="Times New Roman"/>
                <w:sz w:val="24"/>
                <w:szCs w:val="24"/>
                <w:lang w:val="lt-LT"/>
              </w:rPr>
              <w:t>Finansinė Progimnazijos informacija:</w:t>
            </w:r>
          </w:p>
          <w:tbl>
            <w:tblPr>
              <w:tblStyle w:val="TableGrid"/>
              <w:tblW w:w="9579" w:type="dxa"/>
              <w:tblInd w:w="0" w:type="dxa"/>
              <w:tblLayout w:type="fixed"/>
              <w:tblLook w:val="04A0" w:firstRow="1" w:lastRow="0" w:firstColumn="1" w:lastColumn="0" w:noHBand="0" w:noVBand="1"/>
            </w:tblPr>
            <w:tblGrid>
              <w:gridCol w:w="1512"/>
              <w:gridCol w:w="914"/>
              <w:gridCol w:w="993"/>
              <w:gridCol w:w="916"/>
              <w:gridCol w:w="5244"/>
            </w:tblGrid>
            <w:tr w:rsidR="003D5DE3" w:rsidRPr="007C055D" w14:paraId="2FA87D9B" w14:textId="77777777" w:rsidTr="0064209D">
              <w:tc>
                <w:tcPr>
                  <w:tcW w:w="1512" w:type="dxa"/>
                  <w:vMerge w:val="restart"/>
                  <w:hideMark/>
                </w:tcPr>
                <w:p w14:paraId="33CA59EC"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Finansavimo šaltinis</w:t>
                  </w:r>
                </w:p>
              </w:tc>
              <w:tc>
                <w:tcPr>
                  <w:tcW w:w="2823" w:type="dxa"/>
                  <w:gridSpan w:val="3"/>
                  <w:hideMark/>
                </w:tcPr>
                <w:p w14:paraId="74E8732B"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Lėšos (tūkst. eurų)</w:t>
                  </w:r>
                </w:p>
              </w:tc>
              <w:tc>
                <w:tcPr>
                  <w:tcW w:w="5244" w:type="dxa"/>
                  <w:vMerge w:val="restart"/>
                </w:tcPr>
                <w:p w14:paraId="149740EB"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Pastabos</w:t>
                  </w:r>
                </w:p>
                <w:p w14:paraId="09A23A70" w14:textId="77777777" w:rsidR="003D5DE3" w:rsidRPr="007C055D" w:rsidRDefault="003D5DE3" w:rsidP="0064209D">
                  <w:pPr>
                    <w:jc w:val="both"/>
                    <w:rPr>
                      <w:rFonts w:ascii="Times New Roman" w:hAnsi="Times New Roman"/>
                      <w:sz w:val="24"/>
                      <w:szCs w:val="24"/>
                      <w:lang w:val="lt-LT"/>
                    </w:rPr>
                  </w:pPr>
                </w:p>
              </w:tc>
            </w:tr>
            <w:tr w:rsidR="003D5DE3" w:rsidRPr="007C055D" w14:paraId="59B32849" w14:textId="77777777" w:rsidTr="0064209D">
              <w:tc>
                <w:tcPr>
                  <w:tcW w:w="1512" w:type="dxa"/>
                  <w:vMerge/>
                  <w:hideMark/>
                </w:tcPr>
                <w:p w14:paraId="6DE76F82" w14:textId="77777777" w:rsidR="003D5DE3" w:rsidRPr="007C055D" w:rsidRDefault="003D5DE3" w:rsidP="0064209D">
                  <w:pPr>
                    <w:jc w:val="both"/>
                    <w:rPr>
                      <w:rFonts w:ascii="Times New Roman" w:hAnsi="Times New Roman"/>
                      <w:sz w:val="20"/>
                      <w:szCs w:val="20"/>
                      <w:lang w:val="lt-LT"/>
                    </w:rPr>
                  </w:pPr>
                </w:p>
              </w:tc>
              <w:tc>
                <w:tcPr>
                  <w:tcW w:w="914" w:type="dxa"/>
                  <w:hideMark/>
                </w:tcPr>
                <w:p w14:paraId="62ADC403"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Planas (patikslintas)</w:t>
                  </w:r>
                </w:p>
              </w:tc>
              <w:tc>
                <w:tcPr>
                  <w:tcW w:w="993" w:type="dxa"/>
                  <w:hideMark/>
                </w:tcPr>
                <w:p w14:paraId="3F45959C"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Panaudota lėšų</w:t>
                  </w:r>
                </w:p>
              </w:tc>
              <w:tc>
                <w:tcPr>
                  <w:tcW w:w="916" w:type="dxa"/>
                  <w:hideMark/>
                </w:tcPr>
                <w:p w14:paraId="6B895870"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Įvykdymas (%)</w:t>
                  </w:r>
                </w:p>
              </w:tc>
              <w:tc>
                <w:tcPr>
                  <w:tcW w:w="5244" w:type="dxa"/>
                  <w:vMerge/>
                  <w:hideMark/>
                </w:tcPr>
                <w:p w14:paraId="0F12A791" w14:textId="77777777" w:rsidR="003D5DE3" w:rsidRPr="007C055D" w:rsidRDefault="003D5DE3" w:rsidP="0064209D">
                  <w:pPr>
                    <w:jc w:val="both"/>
                    <w:rPr>
                      <w:rFonts w:ascii="Times New Roman" w:hAnsi="Times New Roman"/>
                      <w:lang w:val="lt-LT"/>
                    </w:rPr>
                  </w:pPr>
                </w:p>
              </w:tc>
            </w:tr>
            <w:tr w:rsidR="003D5DE3" w:rsidRPr="007C055D" w14:paraId="0742B913" w14:textId="77777777" w:rsidTr="0064209D">
              <w:trPr>
                <w:trHeight w:val="415"/>
              </w:trPr>
              <w:tc>
                <w:tcPr>
                  <w:tcW w:w="1512" w:type="dxa"/>
                  <w:hideMark/>
                </w:tcPr>
                <w:p w14:paraId="491D64B7"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Savivaldybės biudžetas (SB)</w:t>
                  </w:r>
                </w:p>
              </w:tc>
              <w:tc>
                <w:tcPr>
                  <w:tcW w:w="914" w:type="dxa"/>
                  <w:hideMark/>
                </w:tcPr>
                <w:p w14:paraId="07ADA56A"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360,3</w:t>
                  </w:r>
                </w:p>
              </w:tc>
              <w:tc>
                <w:tcPr>
                  <w:tcW w:w="993" w:type="dxa"/>
                  <w:hideMark/>
                </w:tcPr>
                <w:p w14:paraId="2BAF7A52"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359,6</w:t>
                  </w:r>
                </w:p>
              </w:tc>
              <w:tc>
                <w:tcPr>
                  <w:tcW w:w="916" w:type="dxa"/>
                  <w:hideMark/>
                </w:tcPr>
                <w:p w14:paraId="05F47914"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99,8</w:t>
                  </w:r>
                </w:p>
              </w:tc>
              <w:tc>
                <w:tcPr>
                  <w:tcW w:w="5244" w:type="dxa"/>
                  <w:hideMark/>
                </w:tcPr>
                <w:p w14:paraId="0ED5AD37"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Dėl darbuotojų nedarbingumo buvo sutaupytos darbdavio lėšos, liko nepanaudotų nemokamo maitinimo gamybos išlaidų padengimo lėšų</w:t>
                  </w:r>
                </w:p>
                <w:p w14:paraId="3662CC41" w14:textId="77777777" w:rsidR="003D5DE3" w:rsidRPr="007C055D" w:rsidRDefault="003D5DE3" w:rsidP="0064209D">
                  <w:pPr>
                    <w:jc w:val="both"/>
                    <w:rPr>
                      <w:rFonts w:ascii="Times New Roman" w:hAnsi="Times New Roman"/>
                      <w:sz w:val="24"/>
                      <w:szCs w:val="24"/>
                      <w:lang w:val="lt-LT"/>
                    </w:rPr>
                  </w:pPr>
                </w:p>
              </w:tc>
            </w:tr>
            <w:tr w:rsidR="003D5DE3" w:rsidRPr="007C055D" w14:paraId="4D7D1A28" w14:textId="77777777" w:rsidTr="0064209D">
              <w:tc>
                <w:tcPr>
                  <w:tcW w:w="1512" w:type="dxa"/>
                  <w:hideMark/>
                </w:tcPr>
                <w:p w14:paraId="25C2D11D"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Specialioji tikslinė dotacija (VB)</w:t>
                  </w:r>
                </w:p>
              </w:tc>
              <w:tc>
                <w:tcPr>
                  <w:tcW w:w="914" w:type="dxa"/>
                  <w:hideMark/>
                </w:tcPr>
                <w:p w14:paraId="3DDD1CC1"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1346,4</w:t>
                  </w:r>
                </w:p>
              </w:tc>
              <w:tc>
                <w:tcPr>
                  <w:tcW w:w="993" w:type="dxa"/>
                  <w:hideMark/>
                </w:tcPr>
                <w:p w14:paraId="66A4DC12"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1338,4,</w:t>
                  </w:r>
                </w:p>
              </w:tc>
              <w:tc>
                <w:tcPr>
                  <w:tcW w:w="916" w:type="dxa"/>
                  <w:hideMark/>
                </w:tcPr>
                <w:p w14:paraId="5D9B9513"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99,4</w:t>
                  </w:r>
                </w:p>
              </w:tc>
              <w:tc>
                <w:tcPr>
                  <w:tcW w:w="5244" w:type="dxa"/>
                  <w:hideMark/>
                </w:tcPr>
                <w:p w14:paraId="34B2E161"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Dėl darbuotojų nedarbingumo buvo sutaupytos darbdavio lėšos, liko nepanaudotų nemokamo maitinimo gamybos išlaidų padengimo lėšų bei ukrainiečių mokinių ugdymui skirtų lėšų</w:t>
                  </w:r>
                </w:p>
              </w:tc>
            </w:tr>
            <w:tr w:rsidR="003D5DE3" w:rsidRPr="007C055D" w14:paraId="66439E1F" w14:textId="77777777" w:rsidTr="0064209D">
              <w:trPr>
                <w:trHeight w:val="1319"/>
              </w:trPr>
              <w:tc>
                <w:tcPr>
                  <w:tcW w:w="1512" w:type="dxa"/>
                  <w:hideMark/>
                </w:tcPr>
                <w:p w14:paraId="53615B27"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Įstaigos gautos pajamos (surinkta pajamų SP), iš jų:</w:t>
                  </w:r>
                </w:p>
              </w:tc>
              <w:tc>
                <w:tcPr>
                  <w:tcW w:w="914" w:type="dxa"/>
                  <w:hideMark/>
                </w:tcPr>
                <w:p w14:paraId="58F2D337"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16,5</w:t>
                  </w:r>
                </w:p>
              </w:tc>
              <w:tc>
                <w:tcPr>
                  <w:tcW w:w="993" w:type="dxa"/>
                  <w:hideMark/>
                </w:tcPr>
                <w:p w14:paraId="769DBBF8"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16,4</w:t>
                  </w:r>
                </w:p>
              </w:tc>
              <w:tc>
                <w:tcPr>
                  <w:tcW w:w="916" w:type="dxa"/>
                  <w:hideMark/>
                </w:tcPr>
                <w:p w14:paraId="1C4114E1"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99,9</w:t>
                  </w:r>
                </w:p>
              </w:tc>
              <w:tc>
                <w:tcPr>
                  <w:tcW w:w="5244" w:type="dxa"/>
                  <w:hideMark/>
                </w:tcPr>
                <w:p w14:paraId="07CAB1EA" w14:textId="77777777" w:rsidR="003D5DE3" w:rsidRPr="007C055D" w:rsidRDefault="003D5DE3" w:rsidP="0064209D">
                  <w:pPr>
                    <w:jc w:val="both"/>
                    <w:rPr>
                      <w:rFonts w:ascii="Times New Roman" w:hAnsi="Times New Roman"/>
                      <w:sz w:val="24"/>
                      <w:szCs w:val="24"/>
                      <w:lang w:val="lt-LT"/>
                    </w:rPr>
                  </w:pPr>
                </w:p>
                <w:p w14:paraId="06181E00" w14:textId="77777777" w:rsidR="003D5DE3" w:rsidRPr="007C055D" w:rsidRDefault="003D5DE3" w:rsidP="0064209D">
                  <w:pPr>
                    <w:jc w:val="both"/>
                    <w:rPr>
                      <w:rFonts w:ascii="Times New Roman" w:hAnsi="Times New Roman"/>
                      <w:sz w:val="24"/>
                      <w:szCs w:val="24"/>
                      <w:lang w:val="lt-LT"/>
                    </w:rPr>
                  </w:pPr>
                </w:p>
              </w:tc>
            </w:tr>
            <w:tr w:rsidR="003D5DE3" w:rsidRPr="007C055D" w14:paraId="5888AEBC" w14:textId="77777777" w:rsidTr="0064209D">
              <w:trPr>
                <w:trHeight w:val="477"/>
              </w:trPr>
              <w:tc>
                <w:tcPr>
                  <w:tcW w:w="1512" w:type="dxa"/>
                  <w:hideMark/>
                </w:tcPr>
                <w:p w14:paraId="4B15E6F9"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Pajamų išlaidos (SP)</w:t>
                  </w:r>
                </w:p>
              </w:tc>
              <w:tc>
                <w:tcPr>
                  <w:tcW w:w="914" w:type="dxa"/>
                  <w:hideMark/>
                </w:tcPr>
                <w:p w14:paraId="224AC4E3"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w:t>
                  </w:r>
                </w:p>
              </w:tc>
              <w:tc>
                <w:tcPr>
                  <w:tcW w:w="993" w:type="dxa"/>
                  <w:hideMark/>
                </w:tcPr>
                <w:p w14:paraId="296FF78E"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16,4</w:t>
                  </w:r>
                </w:p>
              </w:tc>
              <w:tc>
                <w:tcPr>
                  <w:tcW w:w="916" w:type="dxa"/>
                  <w:hideMark/>
                </w:tcPr>
                <w:p w14:paraId="4778DA2D"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99,9</w:t>
                  </w:r>
                </w:p>
              </w:tc>
              <w:tc>
                <w:tcPr>
                  <w:tcW w:w="5244" w:type="dxa"/>
                </w:tcPr>
                <w:p w14:paraId="0256D727" w14:textId="77777777" w:rsidR="003D5DE3" w:rsidRPr="007C055D" w:rsidRDefault="003D5DE3" w:rsidP="0064209D">
                  <w:pPr>
                    <w:jc w:val="both"/>
                    <w:rPr>
                      <w:rFonts w:ascii="Times New Roman" w:hAnsi="Times New Roman"/>
                      <w:sz w:val="24"/>
                      <w:szCs w:val="24"/>
                      <w:lang w:val="lt-LT"/>
                    </w:rPr>
                  </w:pPr>
                </w:p>
              </w:tc>
            </w:tr>
            <w:tr w:rsidR="003D5DE3" w:rsidRPr="007C055D" w14:paraId="47EDB552" w14:textId="77777777" w:rsidTr="0064209D">
              <w:trPr>
                <w:trHeight w:val="125"/>
              </w:trPr>
              <w:tc>
                <w:tcPr>
                  <w:tcW w:w="1512" w:type="dxa"/>
                  <w:hideMark/>
                </w:tcPr>
                <w:p w14:paraId="0EA44BA7"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Projektų finansavimas (ES; VB;SB)</w:t>
                  </w:r>
                </w:p>
              </w:tc>
              <w:tc>
                <w:tcPr>
                  <w:tcW w:w="914" w:type="dxa"/>
                  <w:hideMark/>
                </w:tcPr>
                <w:p w14:paraId="4FF6F89E"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26,1</w:t>
                  </w:r>
                </w:p>
              </w:tc>
              <w:tc>
                <w:tcPr>
                  <w:tcW w:w="993" w:type="dxa"/>
                  <w:hideMark/>
                </w:tcPr>
                <w:p w14:paraId="50ACB305"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24,8</w:t>
                  </w:r>
                </w:p>
              </w:tc>
              <w:tc>
                <w:tcPr>
                  <w:tcW w:w="916" w:type="dxa"/>
                  <w:hideMark/>
                </w:tcPr>
                <w:p w14:paraId="0C5C96B2"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78,9</w:t>
                  </w:r>
                </w:p>
              </w:tc>
              <w:tc>
                <w:tcPr>
                  <w:tcW w:w="5244" w:type="dxa"/>
                  <w:hideMark/>
                </w:tcPr>
                <w:p w14:paraId="570DCFE7"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Tarptautinio projekto veikla bus vykdoma ir 2023 m.</w:t>
                  </w:r>
                </w:p>
              </w:tc>
            </w:tr>
            <w:tr w:rsidR="003D5DE3" w:rsidRPr="007C055D" w14:paraId="65FE2AF8" w14:textId="77777777" w:rsidTr="0064209D">
              <w:tc>
                <w:tcPr>
                  <w:tcW w:w="1512" w:type="dxa"/>
                  <w:hideMark/>
                </w:tcPr>
                <w:p w14:paraId="0551F3EB"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lastRenderedPageBreak/>
                    <w:t>Kitos lėšos (parama  ir kt.)</w:t>
                  </w:r>
                </w:p>
              </w:tc>
              <w:tc>
                <w:tcPr>
                  <w:tcW w:w="914" w:type="dxa"/>
                  <w:hideMark/>
                </w:tcPr>
                <w:p w14:paraId="34072BC7"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6,7</w:t>
                  </w:r>
                </w:p>
              </w:tc>
              <w:tc>
                <w:tcPr>
                  <w:tcW w:w="993" w:type="dxa"/>
                  <w:hideMark/>
                </w:tcPr>
                <w:p w14:paraId="12274DFB"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2,4</w:t>
                  </w:r>
                </w:p>
              </w:tc>
              <w:tc>
                <w:tcPr>
                  <w:tcW w:w="916" w:type="dxa"/>
                  <w:hideMark/>
                </w:tcPr>
                <w:p w14:paraId="08E7641D" w14:textId="77777777" w:rsidR="003D5DE3" w:rsidRPr="007C055D" w:rsidRDefault="003D5DE3" w:rsidP="0064209D">
                  <w:pPr>
                    <w:jc w:val="center"/>
                    <w:rPr>
                      <w:rFonts w:ascii="Times New Roman" w:hAnsi="Times New Roman"/>
                      <w:sz w:val="24"/>
                      <w:szCs w:val="24"/>
                      <w:lang w:val="lt-LT"/>
                    </w:rPr>
                  </w:pPr>
                </w:p>
              </w:tc>
              <w:tc>
                <w:tcPr>
                  <w:tcW w:w="5244" w:type="dxa"/>
                </w:tcPr>
                <w:p w14:paraId="2FF85C6A"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Tariamasi su bendruomene dėl lėšų panaudojimo 2023 m.</w:t>
                  </w:r>
                </w:p>
              </w:tc>
            </w:tr>
            <w:tr w:rsidR="003D5DE3" w:rsidRPr="007C055D" w14:paraId="46C6F83C" w14:textId="77777777" w:rsidTr="0064209D">
              <w:trPr>
                <w:trHeight w:val="510"/>
              </w:trPr>
              <w:tc>
                <w:tcPr>
                  <w:tcW w:w="1512" w:type="dxa"/>
                  <w:hideMark/>
                </w:tcPr>
                <w:p w14:paraId="62C34B7A"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Iš viso</w:t>
                  </w:r>
                </w:p>
              </w:tc>
              <w:tc>
                <w:tcPr>
                  <w:tcW w:w="914" w:type="dxa"/>
                  <w:hideMark/>
                </w:tcPr>
                <w:p w14:paraId="793369EC"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1756,0</w:t>
                  </w:r>
                </w:p>
              </w:tc>
              <w:tc>
                <w:tcPr>
                  <w:tcW w:w="993" w:type="dxa"/>
                  <w:hideMark/>
                </w:tcPr>
                <w:p w14:paraId="4473846F"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1741,6</w:t>
                  </w:r>
                </w:p>
              </w:tc>
              <w:tc>
                <w:tcPr>
                  <w:tcW w:w="916" w:type="dxa"/>
                  <w:hideMark/>
                </w:tcPr>
                <w:p w14:paraId="1EAC805A" w14:textId="77777777" w:rsidR="003D5DE3" w:rsidRPr="007C055D" w:rsidRDefault="003D5DE3" w:rsidP="0064209D">
                  <w:pPr>
                    <w:jc w:val="center"/>
                    <w:rPr>
                      <w:rFonts w:ascii="Times New Roman" w:hAnsi="Times New Roman"/>
                      <w:sz w:val="24"/>
                      <w:szCs w:val="24"/>
                      <w:lang w:val="lt-LT"/>
                    </w:rPr>
                  </w:pPr>
                  <w:r w:rsidRPr="007C055D">
                    <w:rPr>
                      <w:rFonts w:ascii="Times New Roman" w:hAnsi="Times New Roman"/>
                      <w:sz w:val="24"/>
                      <w:szCs w:val="24"/>
                      <w:lang w:val="lt-LT"/>
                    </w:rPr>
                    <w:t>99,1</w:t>
                  </w:r>
                </w:p>
              </w:tc>
              <w:tc>
                <w:tcPr>
                  <w:tcW w:w="5244" w:type="dxa"/>
                </w:tcPr>
                <w:p w14:paraId="5AC4B0FE" w14:textId="77777777" w:rsidR="003D5DE3" w:rsidRPr="007C055D" w:rsidRDefault="003D5DE3" w:rsidP="0064209D">
                  <w:pPr>
                    <w:jc w:val="both"/>
                    <w:rPr>
                      <w:rFonts w:ascii="Times New Roman" w:hAnsi="Times New Roman"/>
                      <w:sz w:val="24"/>
                      <w:szCs w:val="24"/>
                      <w:lang w:val="lt-LT"/>
                    </w:rPr>
                  </w:pPr>
                </w:p>
              </w:tc>
            </w:tr>
            <w:tr w:rsidR="003D5DE3" w:rsidRPr="007C055D" w14:paraId="5D203DB5" w14:textId="77777777" w:rsidTr="0064209D">
              <w:trPr>
                <w:trHeight w:val="20"/>
              </w:trPr>
              <w:tc>
                <w:tcPr>
                  <w:tcW w:w="3419" w:type="dxa"/>
                  <w:gridSpan w:val="3"/>
                  <w:hideMark/>
                </w:tcPr>
                <w:p w14:paraId="5A2DE837"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Kreditinis įsiskolinimas (pagal visus finansavimo šaltinius) 2022 m. sausio 1 d. –  0,03 tūkst. Eur</w:t>
                  </w:r>
                </w:p>
              </w:tc>
              <w:tc>
                <w:tcPr>
                  <w:tcW w:w="916" w:type="dxa"/>
                </w:tcPr>
                <w:p w14:paraId="2E327EB1" w14:textId="77777777" w:rsidR="003D5DE3" w:rsidRPr="007C055D" w:rsidRDefault="003D5DE3" w:rsidP="0064209D">
                  <w:pPr>
                    <w:jc w:val="both"/>
                    <w:rPr>
                      <w:rFonts w:ascii="Times New Roman" w:hAnsi="Times New Roman"/>
                      <w:sz w:val="24"/>
                      <w:szCs w:val="24"/>
                      <w:lang w:val="lt-LT"/>
                    </w:rPr>
                  </w:pPr>
                </w:p>
              </w:tc>
              <w:tc>
                <w:tcPr>
                  <w:tcW w:w="5244" w:type="dxa"/>
                  <w:hideMark/>
                </w:tcPr>
                <w:p w14:paraId="623317AD" w14:textId="77777777" w:rsidR="003D5DE3" w:rsidRPr="007C055D" w:rsidRDefault="003D5DE3" w:rsidP="0064209D">
                  <w:pPr>
                    <w:jc w:val="both"/>
                    <w:rPr>
                      <w:rFonts w:ascii="Times New Roman" w:hAnsi="Times New Roman"/>
                      <w:sz w:val="24"/>
                      <w:szCs w:val="24"/>
                      <w:lang w:val="lt-LT"/>
                    </w:rPr>
                  </w:pPr>
                  <w:r w:rsidRPr="007C055D">
                    <w:rPr>
                      <w:rFonts w:ascii="Times New Roman" w:hAnsi="Times New Roman"/>
                      <w:sz w:val="24"/>
                      <w:szCs w:val="24"/>
                      <w:lang w:val="lt-LT"/>
                    </w:rPr>
                    <w:t>Sąskaita už 2022 m. gruodžio mėn. ryšio paslaugas buvo gauta 2023 m. sausio mėnesį</w:t>
                  </w:r>
                </w:p>
              </w:tc>
            </w:tr>
          </w:tbl>
          <w:p w14:paraId="38EC3E3E" w14:textId="77777777" w:rsidR="003D5DE3" w:rsidRPr="007C055D" w:rsidRDefault="003D5DE3" w:rsidP="0064209D">
            <w:pPr>
              <w:ind w:firstLine="603"/>
              <w:jc w:val="both"/>
              <w:rPr>
                <w:rFonts w:ascii="Times New Roman" w:hAnsi="Times New Roman"/>
                <w:sz w:val="24"/>
                <w:szCs w:val="24"/>
                <w:lang w:val="lt-LT"/>
              </w:rPr>
            </w:pPr>
          </w:p>
          <w:p w14:paraId="5A1CA32B" w14:textId="77777777" w:rsidR="003D5DE3" w:rsidRPr="007C055D" w:rsidRDefault="003D5DE3" w:rsidP="0064209D">
            <w:pPr>
              <w:ind w:firstLine="467"/>
              <w:jc w:val="both"/>
              <w:rPr>
                <w:rFonts w:ascii="Times New Roman" w:hAnsi="Times New Roman"/>
                <w:sz w:val="24"/>
                <w:szCs w:val="24"/>
                <w:lang w:val="lt-LT"/>
              </w:rPr>
            </w:pPr>
            <w:r w:rsidRPr="007C055D">
              <w:rPr>
                <w:rFonts w:ascii="Times New Roman" w:hAnsi="Times New Roman"/>
                <w:sz w:val="24"/>
                <w:szCs w:val="24"/>
                <w:lang w:val="lt-LT"/>
              </w:rPr>
              <w:t>Klaipėdos miesto savivaldybės administracijos Švietimo skyrius Progimnazijoje 2022 m. stebėjo matematikos ir fizikos valstybinių brandos egzaminų vykdymą, vertino Progimnazijos ugdymo ir strateginį veiklos planą, Progimnazijos technologijų kabinetų būklę, Klaipėdos miesto savivaldybės kontrolės ir audito tarnyba tikrino mokinių maitinimo organizavimą, NVSC prie SAM Klaipėdos departamentas tikrino Progimnazijos patalpų atitikimą higienos normoms. Pažeidimų nenustatyta.</w:t>
            </w:r>
          </w:p>
          <w:p w14:paraId="17AC8FE0" w14:textId="77777777" w:rsidR="003D5DE3" w:rsidRPr="007C055D" w:rsidRDefault="003D5DE3" w:rsidP="0064209D">
            <w:pPr>
              <w:ind w:firstLine="467"/>
              <w:jc w:val="both"/>
              <w:rPr>
                <w:rFonts w:ascii="Times New Roman" w:hAnsi="Times New Roman"/>
                <w:sz w:val="24"/>
                <w:szCs w:val="24"/>
                <w:lang w:val="lt-LT"/>
              </w:rPr>
            </w:pPr>
            <w:r w:rsidRPr="007C055D">
              <w:rPr>
                <w:rFonts w:ascii="Times New Roman" w:hAnsi="Times New Roman"/>
                <w:sz w:val="24"/>
                <w:szCs w:val="24"/>
                <w:lang w:val="lt-LT"/>
              </w:rPr>
              <w:t>Progimnazijoje dar lieka neišspręstų problemų, atsiradusių dėl vidaus ir išorės faktorių: dalies mokinių žema mokymosi motyvacija, SUP mokinių integravimas, dalies mokinių tėvų nepakankamas bendradarbiavimas su Progimnazijos pedagogais ir administracija sprendžiant mokinių mokymo(si) ir elgesio problemas, šiuolaikinių ugdymo priemonių ir vadovėlių trūkumas, susidėvėjusi elektros instaliacija, vandentiekio, kanalizacijos vamzdynai, kuriuos reikėtų atnaujinti.</w:t>
            </w:r>
          </w:p>
          <w:p w14:paraId="52184364" w14:textId="77777777" w:rsidR="003D5DE3" w:rsidRPr="003D5DE3" w:rsidRDefault="003D5DE3" w:rsidP="0064209D">
            <w:pPr>
              <w:ind w:firstLine="467"/>
              <w:jc w:val="both"/>
              <w:rPr>
                <w:rFonts w:ascii="Times New Roman" w:hAnsi="Times New Roman"/>
                <w:sz w:val="24"/>
                <w:szCs w:val="24"/>
                <w:lang w:val="lt-LT"/>
              </w:rPr>
            </w:pPr>
            <w:r w:rsidRPr="003D5DE3">
              <w:rPr>
                <w:rFonts w:ascii="Times New Roman" w:hAnsi="Times New Roman"/>
                <w:sz w:val="24"/>
                <w:szCs w:val="24"/>
                <w:lang w:val="lt-LT"/>
              </w:rPr>
              <w:t>2023 m. bendruomenės nariai numatė šiuos Progimnazijos veiklos prioritetus: tobulinti Progimnazijos ugdymo proceso organizavimą, siekiant užtikrinti ugdymo(si) kokybę, kiekvieno bendruomenės nario saugumą ir gerą savijautą</w:t>
            </w:r>
          </w:p>
        </w:tc>
      </w:tr>
    </w:tbl>
    <w:p w14:paraId="70160C33" w14:textId="77777777" w:rsidR="003D5DE3" w:rsidRPr="007C055D" w:rsidRDefault="003D5DE3" w:rsidP="003D5DE3">
      <w:pPr>
        <w:spacing w:after="0" w:line="240" w:lineRule="auto"/>
        <w:jc w:val="center"/>
        <w:rPr>
          <w:rFonts w:ascii="Times New Roman" w:eastAsia="Calibri" w:hAnsi="Times New Roman" w:cs="Times New Roman"/>
          <w:b/>
          <w:sz w:val="24"/>
          <w:szCs w:val="24"/>
          <w:lang w:val="lt-LT"/>
        </w:rPr>
      </w:pPr>
    </w:p>
    <w:p w14:paraId="2FF1A68D" w14:textId="77777777" w:rsidR="003D5DE3" w:rsidRDefault="003D5DE3"/>
    <w:p w14:paraId="11A8854B" w14:textId="60DAAF4A" w:rsidR="00CD4EFC" w:rsidRPr="003D5DE3" w:rsidRDefault="003D5DE3">
      <w:pPr>
        <w:rPr>
          <w:rFonts w:ascii="Times New Roman" w:hAnsi="Times New Roman" w:cs="Times New Roman"/>
          <w:sz w:val="24"/>
          <w:szCs w:val="24"/>
        </w:rPr>
      </w:pPr>
      <w:proofErr w:type="spellStart"/>
      <w:r w:rsidRPr="003D5DE3">
        <w:rPr>
          <w:rFonts w:ascii="Times New Roman" w:hAnsi="Times New Roman" w:cs="Times New Roman"/>
          <w:sz w:val="24"/>
          <w:szCs w:val="24"/>
        </w:rPr>
        <w:t>Direktorė</w:t>
      </w:r>
      <w:proofErr w:type="spellEnd"/>
      <w:r w:rsidRPr="003D5DE3">
        <w:rPr>
          <w:rFonts w:ascii="Times New Roman" w:hAnsi="Times New Roman" w:cs="Times New Roman"/>
          <w:sz w:val="24"/>
          <w:szCs w:val="24"/>
        </w:rPr>
        <w:t xml:space="preserve">                                                                                                                    Janina Grigienė</w:t>
      </w:r>
    </w:p>
    <w:sectPr w:rsidR="00CD4EFC" w:rsidRPr="003D5DE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DE3"/>
    <w:rsid w:val="003D5DE3"/>
    <w:rsid w:val="00CD4E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CFB48"/>
  <w15:chartTrackingRefBased/>
  <w15:docId w15:val="{250E11B7-05E2-48F8-AA65-4FC1D292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E3"/>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5DE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D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7905</Words>
  <Characters>4507</Characters>
  <Application>Microsoft Office Word</Application>
  <DocSecurity>0</DocSecurity>
  <Lines>37</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Grigienė</dc:creator>
  <cp:keywords/>
  <dc:description/>
  <cp:lastModifiedBy>Janina Grigienė</cp:lastModifiedBy>
  <cp:revision>1</cp:revision>
  <dcterms:created xsi:type="dcterms:W3CDTF">2023-09-07T07:19:00Z</dcterms:created>
  <dcterms:modified xsi:type="dcterms:W3CDTF">2023-09-07T07:28:00Z</dcterms:modified>
</cp:coreProperties>
</file>